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8ECEF">
      <w:pPr>
        <w:jc w:val="both"/>
        <w:rPr>
          <w:sz w:val="24"/>
          <w:szCs w:val="24"/>
        </w:rPr>
      </w:pPr>
    </w:p>
    <w:p w14:paraId="196C100E">
      <w:pPr>
        <w:jc w:val="both"/>
        <w:rPr>
          <w:sz w:val="24"/>
          <w:szCs w:val="24"/>
        </w:rPr>
      </w:pPr>
    </w:p>
    <w:tbl>
      <w:tblPr>
        <w:tblStyle w:val="6"/>
        <w:tblpPr w:leftFromText="180" w:rightFromText="180" w:vertAnchor="text" w:horzAnchor="margin" w:tblpXSpec="center" w:tblpY="-358"/>
        <w:tblW w:w="13892" w:type="dxa"/>
        <w:tblInd w:w="0" w:type="dxa"/>
        <w:tblLayout w:type="fixed"/>
        <w:tblCellMar>
          <w:top w:w="0" w:type="dxa"/>
          <w:left w:w="108" w:type="dxa"/>
          <w:bottom w:w="0" w:type="dxa"/>
          <w:right w:w="108" w:type="dxa"/>
        </w:tblCellMar>
      </w:tblPr>
      <w:tblGrid>
        <w:gridCol w:w="6946"/>
        <w:gridCol w:w="6946"/>
      </w:tblGrid>
      <w:tr w14:paraId="0B1ADAC5">
        <w:tblPrEx>
          <w:tblCellMar>
            <w:top w:w="0" w:type="dxa"/>
            <w:left w:w="108" w:type="dxa"/>
            <w:bottom w:w="0" w:type="dxa"/>
            <w:right w:w="108" w:type="dxa"/>
          </w:tblCellMar>
        </w:tblPrEx>
        <w:trPr>
          <w:trHeight w:val="1412" w:hRule="atLeast"/>
        </w:trPr>
        <w:tc>
          <w:tcPr>
            <w:tcW w:w="6946" w:type="dxa"/>
          </w:tcPr>
          <w:p w14:paraId="54D404D2">
            <w:r>
              <w:t>UBND TỈNH KHÁNH HÒA</w:t>
            </w:r>
          </w:p>
          <w:p w14:paraId="724DBF86">
            <w:pPr>
              <w:rPr>
                <w:b/>
              </w:rPr>
            </w:pPr>
            <w:r>
              <w:rPr>
                <w:b/>
              </w:rPr>
              <w:t>SỞ NÔNG NGHIỆP VÀ MÔI TRƯỜNG</w:t>
            </w:r>
          </w:p>
          <w:p w14:paraId="35B9FC43">
            <w:pPr>
              <w:rPr>
                <w:bCs/>
              </w:rPr>
            </w:pPr>
            <w:r>
              <w:rPr>
                <w:bCs/>
              </w:rPr>
              <mc:AlternateContent>
                <mc:Choice Requires="wps">
                  <w:drawing>
                    <wp:anchor distT="0" distB="0" distL="114300" distR="114300" simplePos="0" relativeHeight="251659264" behindDoc="0" locked="0" layoutInCell="1" allowOverlap="1">
                      <wp:simplePos x="0" y="0"/>
                      <wp:positionH relativeFrom="column">
                        <wp:posOffset>1409700</wp:posOffset>
                      </wp:positionH>
                      <wp:positionV relativeFrom="paragraph">
                        <wp:posOffset>29210</wp:posOffset>
                      </wp:positionV>
                      <wp:extent cx="135191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35172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o:spt="20" style="position:absolute;left:0pt;margin-left:111pt;margin-top:2.3pt;height:0pt;width:106.45pt;z-index:251659264;mso-width-relative:page;mso-height-relative:page;" filled="f" stroked="t" coordsize="21600,21600" o:gfxdata="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Fr5Qa/VAAAABwEAAA8AAAAAAAAAAQAgAAAAIgAA&#10;AGRycy9kb3ducmV2LnhtbFBLAQIUABQAAAAIAIdO4kCxT6VJ0gEAALQDAAAOAAAAAAAAAAEAIAAA&#10;ACQBAABkcnMvZTJvRG9jLnhtbFBLBQYAAAAABgAGAFkBAABoBQAAAAA=&#10;">
                      <v:fill on="f" focussize="0,0"/>
                      <v:stroke weight="0.5pt" color="#000000 [3213]" miterlimit="8" joinstyle="miter"/>
                      <v:imagedata o:title=""/>
                      <o:lock v:ext="edit" aspectratio="f"/>
                    </v:line>
                  </w:pict>
                </mc:Fallback>
              </mc:AlternateContent>
            </w:r>
          </w:p>
        </w:tc>
        <w:tc>
          <w:tcPr>
            <w:tcW w:w="6946" w:type="dxa"/>
          </w:tcPr>
          <w:p w14:paraId="1C32F835">
            <w:pPr>
              <w:rPr>
                <w:b/>
              </w:rPr>
            </w:pPr>
            <w:r>
              <w:rPr>
                <w:b/>
              </w:rPr>
              <w:t>CỘNG H</w:t>
            </w:r>
            <w:r>
              <w:rPr>
                <w:rFonts w:hint="default"/>
                <w:b/>
                <w:lang w:val="en-US"/>
              </w:rPr>
              <w:t>ÒA</w:t>
            </w:r>
            <w:r>
              <w:rPr>
                <w:b/>
              </w:rPr>
              <w:t xml:space="preserve"> XÃ HỘI CHỦ NGHĨA VIỆT NAM</w:t>
            </w:r>
          </w:p>
          <w:p w14:paraId="4623A670">
            <w:pPr>
              <w:rPr>
                <w:b/>
              </w:rPr>
            </w:pPr>
            <w:r>
              <w:rPr>
                <w:b/>
              </w:rPr>
              <w:t>Độc lập - Tự do - Hạnh phúc</w:t>
            </w:r>
          </w:p>
          <w:p w14:paraId="604F649B">
            <w:pPr>
              <w:pStyle w:val="3"/>
              <w:jc w:val="center"/>
              <w:rPr>
                <w:sz w:val="28"/>
                <w:szCs w:val="28"/>
              </w:rPr>
            </w:pPr>
            <w:r>
              <w:rPr>
                <w:sz w:val="28"/>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1044575</wp:posOffset>
                      </wp:positionH>
                      <wp:positionV relativeFrom="paragraph">
                        <wp:posOffset>29845</wp:posOffset>
                      </wp:positionV>
                      <wp:extent cx="217868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7865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o:spt="20" style="position:absolute;left:0pt;margin-left:82.25pt;margin-top:2.35pt;height:0pt;width:171.55pt;z-index:251660288;mso-width-relative:page;mso-height-relative:page;" filled="f" stroked="t" coordsize="21600,21600" o:gfxdata="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&#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D+aR+0wAAAAcBAAAPAAAAAAAAAAEAIAAAACIAAABk&#10;cnMvZG93bnJldi54bWxQSwECFAAUAAAACACHTuJA2c/N59IBAAC0AwAADgAAAAAAAAABACAAAAAi&#10;AQAAZHJzL2Uyb0RvYy54bWxQSwUGAAAAAAYABgBZAQAAZgUAAAAA&#10;">
                      <v:fill on="f" focussize="0,0"/>
                      <v:stroke weight="0.5pt" color="#000000 [3213]" miterlimit="8" joinstyle="miter"/>
                      <v:imagedata o:title=""/>
                      <o:lock v:ext="edit" aspectratio="f"/>
                    </v:line>
                  </w:pict>
                </mc:Fallback>
              </mc:AlternateContent>
            </w:r>
          </w:p>
          <w:p w14:paraId="079E49FC">
            <w:pPr>
              <w:pStyle w:val="3"/>
              <w:jc w:val="center"/>
              <w:rPr>
                <w:sz w:val="28"/>
                <w:szCs w:val="28"/>
                <w:lang w:val="en-US" w:eastAsia="en-US"/>
              </w:rPr>
            </w:pPr>
            <w:r>
              <w:rPr>
                <w:sz w:val="28"/>
                <w:szCs w:val="28"/>
                <w:lang w:val="en-US"/>
              </w:rPr>
              <w:t xml:space="preserve">                         Khánh Hòa</w:t>
            </w:r>
            <w:r>
              <w:rPr>
                <w:sz w:val="28"/>
                <w:szCs w:val="28"/>
              </w:rPr>
              <w:t xml:space="preserve">, </w:t>
            </w:r>
            <w:r>
              <w:rPr>
                <w:iCs/>
                <w:sz w:val="28"/>
                <w:szCs w:val="28"/>
              </w:rPr>
              <w:t xml:space="preserve">ngày </w:t>
            </w:r>
            <w:r>
              <w:rPr>
                <w:rFonts w:hint="default"/>
                <w:iCs/>
                <w:sz w:val="28"/>
                <w:szCs w:val="28"/>
                <w:lang w:val="en-US"/>
              </w:rPr>
              <w:t xml:space="preserve">11 </w:t>
            </w:r>
            <w:r>
              <w:rPr>
                <w:iCs/>
                <w:sz w:val="28"/>
                <w:szCs w:val="28"/>
              </w:rPr>
              <w:t xml:space="preserve">tháng </w:t>
            </w:r>
            <w:r>
              <w:rPr>
                <w:rFonts w:hint="default"/>
                <w:iCs/>
                <w:sz w:val="28"/>
                <w:szCs w:val="28"/>
                <w:lang w:val="en-US"/>
              </w:rPr>
              <w:t xml:space="preserve"> 08 </w:t>
            </w:r>
            <w:r>
              <w:rPr>
                <w:iCs/>
                <w:sz w:val="28"/>
                <w:szCs w:val="28"/>
              </w:rPr>
              <w:t xml:space="preserve">năm </w:t>
            </w:r>
            <w:r>
              <w:rPr>
                <w:iCs/>
                <w:sz w:val="28"/>
                <w:szCs w:val="28"/>
                <w:lang w:val="en-US"/>
              </w:rPr>
              <w:t>2026</w:t>
            </w:r>
          </w:p>
        </w:tc>
      </w:tr>
    </w:tbl>
    <w:p w14:paraId="5E6BA265">
      <w:pPr>
        <w:spacing w:before="40"/>
        <w:rPr>
          <w:b/>
          <w:bCs/>
        </w:rPr>
      </w:pPr>
      <w:r>
        <w:rPr>
          <w:b/>
          <w:bCs/>
        </w:rPr>
        <w:t xml:space="preserve">BẢN SO SÁNH, THUYẾT MINH DỰ THẢO NGHỊ QUYẾT QUY ĐỊNH MỨC THU, NỘP, QUẢN LÝ VÀ </w:t>
      </w:r>
    </w:p>
    <w:p w14:paraId="7DA5D3BA">
      <w:pPr>
        <w:spacing w:before="40"/>
        <w:rPr>
          <w:b/>
          <w:bCs/>
        </w:rPr>
      </w:pPr>
      <w:r>
        <w:rPr>
          <w:b/>
          <w:bCs/>
        </w:rPr>
        <w:t>SỬ DỤNG PHÍ ĐĂNG KÝ GIAO DỊCH BẢO ĐẢM; PHÍ CUNG CẤP THÔNG TIN VỀ GIAO DỊCH BẢO ĐẢM BẰNG QUYỀN SỬ DỤNG ĐẤT, TÀI SẢN G</w:t>
      </w:r>
      <w:r>
        <w:rPr>
          <w:b/>
          <w:bCs/>
          <w:lang w:val="en-US"/>
        </w:rPr>
        <w:t>Ắ</w:t>
      </w:r>
      <w:r>
        <w:rPr>
          <w:b/>
          <w:bCs/>
        </w:rPr>
        <w:t>N LIỀN VỚI ĐẤT TRÊN ĐỊA BÀN TỈNH KHÁNH HÒA</w:t>
      </w:r>
    </w:p>
    <w:p w14:paraId="0E4B11FF">
      <w:pPr>
        <w:rPr>
          <w:b/>
          <w:bCs/>
          <w:sz w:val="32"/>
          <w:szCs w:val="24"/>
        </w:rPr>
      </w:pPr>
    </w:p>
    <w:p w14:paraId="7F088518">
      <w:pPr>
        <w:jc w:val="both"/>
        <w:rPr>
          <w:b/>
          <w:bCs/>
          <w:sz w:val="22"/>
        </w:rPr>
      </w:pPr>
    </w:p>
    <w:p w14:paraId="10969C82">
      <w:pPr>
        <w:pStyle w:val="28"/>
        <w:numPr>
          <w:ilvl w:val="0"/>
          <w:numId w:val="1"/>
        </w:numPr>
        <w:tabs>
          <w:tab w:val="left" w:pos="5415"/>
        </w:tabs>
        <w:jc w:val="left"/>
        <w:rPr>
          <w:b/>
          <w:lang w:val="fr-FR"/>
        </w:rPr>
      </w:pPr>
      <w:r>
        <w:rPr>
          <w:b/>
          <w:lang w:val="fr-FR"/>
        </w:rPr>
        <w:t>Đối với văn bản sửa đổi, bổ sung, thay thế</w:t>
      </w:r>
    </w:p>
    <w:p w14:paraId="452088B4">
      <w:pPr>
        <w:tabs>
          <w:tab w:val="left" w:pos="5415"/>
        </w:tabs>
        <w:jc w:val="left"/>
        <w:rPr>
          <w:b/>
          <w:sz w:val="12"/>
          <w:lang w:val="fr-FR"/>
        </w:rPr>
      </w:pPr>
    </w:p>
    <w:tbl>
      <w:tblPr>
        <w:tblStyle w:val="6"/>
        <w:tblW w:w="5407" w:type="pct"/>
        <w:tblInd w:w="-6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766"/>
        <w:gridCol w:w="5237"/>
        <w:gridCol w:w="4950"/>
      </w:tblGrid>
      <w:tr w14:paraId="3C2F0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1807" w:type="pct"/>
            <w:tcBorders>
              <w:bottom w:val="single" w:color="auto" w:sz="4" w:space="0"/>
            </w:tcBorders>
            <w:shd w:val="clear" w:color="auto" w:fill="FFFFFF"/>
            <w:vAlign w:val="center"/>
          </w:tcPr>
          <w:p w14:paraId="63F6ACDC">
            <w:pPr>
              <w:spacing w:before="40" w:after="40"/>
              <w:rPr>
                <w:b/>
                <w:sz w:val="24"/>
                <w:szCs w:val="24"/>
              </w:rPr>
            </w:pPr>
            <w:bookmarkStart w:id="0" w:name="_Hlk213166859"/>
            <w:r>
              <w:rPr>
                <w:b/>
                <w:sz w:val="24"/>
                <w:szCs w:val="24"/>
              </w:rPr>
              <w:t>QUY PHẠM PHÁP LUẬT HIỆN HÀNH</w:t>
            </w:r>
          </w:p>
        </w:tc>
        <w:tc>
          <w:tcPr>
            <w:tcW w:w="1641" w:type="pct"/>
            <w:tcBorders>
              <w:bottom w:val="single" w:color="auto" w:sz="4" w:space="0"/>
            </w:tcBorders>
            <w:shd w:val="clear" w:color="auto" w:fill="FFFFFF"/>
            <w:vAlign w:val="center"/>
          </w:tcPr>
          <w:p w14:paraId="043CADFB">
            <w:pPr>
              <w:spacing w:before="40" w:after="40"/>
              <w:rPr>
                <w:b/>
                <w:sz w:val="24"/>
                <w:szCs w:val="24"/>
              </w:rPr>
            </w:pPr>
            <w:r>
              <w:rPr>
                <w:b/>
                <w:sz w:val="24"/>
                <w:szCs w:val="24"/>
              </w:rPr>
              <w:t>DỰ THẢO VĂN BẢN</w:t>
            </w:r>
          </w:p>
        </w:tc>
        <w:tc>
          <w:tcPr>
            <w:tcW w:w="1551" w:type="pct"/>
            <w:shd w:val="clear" w:color="auto" w:fill="FFFFFF"/>
            <w:vAlign w:val="center"/>
          </w:tcPr>
          <w:p w14:paraId="2D2E826D">
            <w:pPr>
              <w:spacing w:before="40" w:after="40"/>
              <w:rPr>
                <w:b/>
                <w:sz w:val="24"/>
                <w:szCs w:val="24"/>
              </w:rPr>
            </w:pPr>
            <w:r>
              <w:rPr>
                <w:b/>
                <w:sz w:val="24"/>
                <w:szCs w:val="24"/>
              </w:rPr>
              <w:t>THUYẾT MINH</w:t>
            </w:r>
          </w:p>
        </w:tc>
      </w:tr>
      <w:tr w14:paraId="2211F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07" w:type="pct"/>
            <w:tcBorders>
              <w:top w:val="single" w:color="auto" w:sz="4" w:space="0"/>
              <w:left w:val="single" w:color="auto" w:sz="4" w:space="0"/>
              <w:bottom w:val="single" w:color="auto" w:sz="4" w:space="0"/>
              <w:right w:val="single" w:color="auto" w:sz="4" w:space="0"/>
            </w:tcBorders>
            <w:shd w:val="clear" w:color="auto" w:fill="FFFFFF"/>
            <w:vAlign w:val="center"/>
          </w:tcPr>
          <w:p w14:paraId="345276EF">
            <w:pPr>
              <w:spacing w:before="40" w:after="40"/>
              <w:ind w:left="69" w:right="143"/>
              <w:jc w:val="both"/>
              <w:rPr>
                <w:b/>
                <w:sz w:val="24"/>
                <w:szCs w:val="24"/>
              </w:rPr>
            </w:pPr>
            <w:r>
              <w:rPr>
                <w:b/>
                <w:sz w:val="24"/>
                <w:szCs w:val="24"/>
              </w:rPr>
              <w:t>* Tên Nghị quyết:</w:t>
            </w:r>
          </w:p>
          <w:p w14:paraId="1463C5A3">
            <w:pPr>
              <w:spacing w:before="40" w:after="40"/>
              <w:ind w:left="69" w:right="143"/>
              <w:jc w:val="both"/>
              <w:rPr>
                <w:b/>
                <w:sz w:val="24"/>
                <w:szCs w:val="24"/>
              </w:rPr>
            </w:pPr>
          </w:p>
          <w:p w14:paraId="4D087F93">
            <w:pPr>
              <w:spacing w:before="40" w:after="40"/>
              <w:ind w:left="69" w:right="143"/>
              <w:jc w:val="both"/>
              <w:rPr>
                <w:b/>
                <w:sz w:val="24"/>
                <w:szCs w:val="24"/>
              </w:rPr>
            </w:pPr>
            <w:r>
              <w:rPr>
                <w:b/>
                <w:sz w:val="24"/>
                <w:szCs w:val="24"/>
              </w:rPr>
              <w:t>- Tỉnh Khánh Hòa (trước sắp xếp):</w:t>
            </w:r>
          </w:p>
          <w:p w14:paraId="105AF6B7">
            <w:pPr>
              <w:spacing w:before="40" w:after="40"/>
              <w:ind w:left="69" w:right="143"/>
              <w:jc w:val="both"/>
              <w:rPr>
                <w:bCs/>
                <w:sz w:val="24"/>
                <w:szCs w:val="24"/>
              </w:rPr>
            </w:pPr>
            <w:r>
              <w:rPr>
                <w:bCs/>
                <w:sz w:val="24"/>
                <w:szCs w:val="24"/>
              </w:rPr>
              <w:t>Nghị quyết số 13/2021/NQ-HĐND ngày 19/10/2021 của HĐND tỉnh Khánh H</w:t>
            </w:r>
            <w:r>
              <w:rPr>
                <w:rFonts w:hint="default"/>
                <w:bCs/>
                <w:sz w:val="24"/>
                <w:szCs w:val="24"/>
                <w:lang w:val="en-US"/>
              </w:rPr>
              <w:t>òa</w:t>
            </w:r>
            <w:r>
              <w:rPr>
                <w:bCs/>
                <w:sz w:val="24"/>
                <w:szCs w:val="24"/>
              </w:rPr>
              <w:t xml:space="preserve"> quy định mức thu, nộp, quản lý và sử dụng phí đăng ký giao dịch bảo đảm, phí cung cấp thông tin về giao dịch bảo đảm bằng quyền sử dụng đất và tài sản gắn liền với đất trên địa bàn tỉnh Khánh Hòa.</w:t>
            </w:r>
          </w:p>
          <w:p w14:paraId="04D07AF8">
            <w:pPr>
              <w:spacing w:before="40" w:after="40"/>
              <w:ind w:left="69" w:right="143"/>
              <w:jc w:val="both"/>
              <w:rPr>
                <w:bCs/>
                <w:sz w:val="24"/>
                <w:szCs w:val="24"/>
              </w:rPr>
            </w:pPr>
          </w:p>
          <w:p w14:paraId="743BC591">
            <w:pPr>
              <w:spacing w:before="40" w:after="40"/>
              <w:ind w:left="69" w:right="143"/>
              <w:jc w:val="both"/>
              <w:rPr>
                <w:b/>
                <w:sz w:val="24"/>
                <w:szCs w:val="24"/>
              </w:rPr>
            </w:pPr>
            <w:r>
              <w:rPr>
                <w:b/>
                <w:sz w:val="24"/>
                <w:szCs w:val="24"/>
              </w:rPr>
              <w:t>- Tỉnh Ninh Thuận (trước sắp xếp):</w:t>
            </w:r>
          </w:p>
          <w:p w14:paraId="613DD0D7">
            <w:pPr>
              <w:spacing w:before="40" w:after="40"/>
              <w:ind w:left="140" w:right="98"/>
              <w:jc w:val="both"/>
              <w:rPr>
                <w:b/>
                <w:sz w:val="24"/>
                <w:szCs w:val="24"/>
              </w:rPr>
            </w:pPr>
            <w:r>
              <w:rPr>
                <w:bCs/>
                <w:sz w:val="24"/>
                <w:szCs w:val="24"/>
              </w:rPr>
              <w:t>Nghị quyết số 16/2020/NQ-HĐND ngày 10/12/2020 của HĐND tỉnh Ninh Thuận quy định mức thu, chế độ thu, nộp, quản lý và sử dụng phí đăng ký biện pháp bảo đảm trên địa bàn tỉnh Ninh Thuận.</w:t>
            </w:r>
          </w:p>
        </w:tc>
        <w:tc>
          <w:tcPr>
            <w:tcW w:w="1641" w:type="pct"/>
            <w:tcBorders>
              <w:top w:val="single" w:color="auto" w:sz="4" w:space="0"/>
              <w:left w:val="single" w:color="auto" w:sz="4" w:space="0"/>
              <w:bottom w:val="single" w:color="auto" w:sz="4" w:space="0"/>
              <w:right w:val="single" w:color="auto" w:sz="4" w:space="0"/>
            </w:tcBorders>
            <w:shd w:val="clear" w:color="auto" w:fill="FFFFFF"/>
            <w:vAlign w:val="center"/>
          </w:tcPr>
          <w:p w14:paraId="2CCC5D96">
            <w:pPr>
              <w:spacing w:before="40" w:after="40"/>
              <w:ind w:left="140" w:right="98"/>
              <w:jc w:val="both"/>
              <w:rPr>
                <w:bCs/>
                <w:sz w:val="24"/>
                <w:szCs w:val="24"/>
              </w:rPr>
            </w:pPr>
            <w:r>
              <w:rPr>
                <w:bCs/>
                <w:sz w:val="24"/>
                <w:szCs w:val="24"/>
              </w:rPr>
              <w:t>Dự thảo Nghị quyết quy định mức thu, nộp, quản lý và sử dụng phí đăng ký giao dịch bảo đảm; phí cung cấp thông tin về giao dịch bảo đảm bằng quyền sử dụng đất, tài sản gắn liền với đất trên địa bàn tỉnh Khánh Hòa.</w:t>
            </w:r>
          </w:p>
          <w:p w14:paraId="67508EDF">
            <w:pPr>
              <w:spacing w:before="40" w:after="40"/>
              <w:ind w:left="140" w:right="98"/>
              <w:jc w:val="both"/>
              <w:rPr>
                <w:b/>
                <w:bCs/>
                <w:spacing w:val="-4"/>
                <w:sz w:val="24"/>
                <w:szCs w:val="24"/>
                <w:lang w:val="vi-VN"/>
              </w:rPr>
            </w:pPr>
          </w:p>
        </w:tc>
        <w:tc>
          <w:tcPr>
            <w:tcW w:w="1551" w:type="pct"/>
            <w:tcBorders>
              <w:top w:val="dashed" w:color="auto" w:sz="4" w:space="0"/>
              <w:left w:val="single" w:color="auto" w:sz="4" w:space="0"/>
              <w:bottom w:val="single" w:color="auto" w:sz="4" w:space="0"/>
              <w:right w:val="single" w:color="auto" w:sz="4" w:space="0"/>
            </w:tcBorders>
            <w:shd w:val="clear" w:color="auto" w:fill="FFFFFF"/>
            <w:vAlign w:val="center"/>
          </w:tcPr>
          <w:p w14:paraId="79CF5671">
            <w:pPr>
              <w:spacing w:before="40" w:after="40"/>
              <w:ind w:left="140" w:right="98"/>
              <w:jc w:val="both"/>
              <w:rPr>
                <w:sz w:val="24"/>
                <w:szCs w:val="24"/>
              </w:rPr>
            </w:pPr>
            <w:r>
              <w:rPr>
                <w:sz w:val="24"/>
                <w:szCs w:val="24"/>
              </w:rPr>
              <w:t xml:space="preserve">Tên của Nghị quyết đúng theo Danh mục phí thuộc lĩnh vực tư </w:t>
            </w:r>
            <w:r>
              <w:rPr>
                <w:bCs/>
                <w:sz w:val="24"/>
                <w:szCs w:val="24"/>
              </w:rPr>
              <w:t xml:space="preserve">pháp </w:t>
            </w:r>
            <w:r>
              <w:rPr>
                <w:sz w:val="24"/>
                <w:szCs w:val="24"/>
              </w:rPr>
              <w:t>(mục số XII) tại Phụ lục số 01 kèm theo Luật Phí và lệ phí năm 2015 và quy định tại khoản 17,</w:t>
            </w:r>
            <w:r>
              <w:rPr>
                <w:rFonts w:hint="default"/>
                <w:sz w:val="24"/>
                <w:szCs w:val="24"/>
                <w:lang w:val="en-US"/>
              </w:rPr>
              <w:t xml:space="preserve"> </w:t>
            </w:r>
            <w:r>
              <w:rPr>
                <w:sz w:val="24"/>
                <w:szCs w:val="24"/>
              </w:rPr>
              <w:t>21 Điều 2 Thông tư số 85/2019/TT-BTC được sửa đổi, bổ sung bởi Thông tư số 106/2021/TT-BTC.</w:t>
            </w:r>
          </w:p>
        </w:tc>
      </w:tr>
      <w:tr w14:paraId="44ACE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07" w:type="pct"/>
            <w:tcBorders>
              <w:top w:val="single" w:color="auto" w:sz="4" w:space="0"/>
              <w:left w:val="single" w:color="auto" w:sz="4" w:space="0"/>
              <w:bottom w:val="single" w:color="auto" w:sz="4" w:space="0"/>
              <w:right w:val="single" w:color="auto" w:sz="4" w:space="0"/>
            </w:tcBorders>
            <w:shd w:val="clear" w:color="auto" w:fill="FFFFFF"/>
            <w:vAlign w:val="center"/>
          </w:tcPr>
          <w:p w14:paraId="2B2B3177">
            <w:pPr>
              <w:spacing w:before="40" w:after="40"/>
              <w:ind w:left="140" w:right="98"/>
              <w:jc w:val="both"/>
              <w:rPr>
                <w:b/>
                <w:sz w:val="24"/>
                <w:szCs w:val="24"/>
              </w:rPr>
            </w:pPr>
            <w:r>
              <w:rPr>
                <w:b/>
                <w:sz w:val="24"/>
                <w:szCs w:val="24"/>
              </w:rPr>
              <w:t>* Điều 1:</w:t>
            </w:r>
          </w:p>
          <w:p w14:paraId="11D0E9CB">
            <w:pPr>
              <w:spacing w:before="40" w:after="40"/>
              <w:ind w:left="140" w:right="98"/>
              <w:jc w:val="both"/>
              <w:rPr>
                <w:b/>
                <w:sz w:val="24"/>
                <w:szCs w:val="24"/>
              </w:rPr>
            </w:pPr>
          </w:p>
          <w:p w14:paraId="660FEBD3">
            <w:pPr>
              <w:spacing w:before="40" w:after="40"/>
              <w:ind w:left="140" w:right="98"/>
              <w:jc w:val="both"/>
              <w:rPr>
                <w:b/>
                <w:sz w:val="24"/>
                <w:szCs w:val="24"/>
              </w:rPr>
            </w:pPr>
            <w:r>
              <w:rPr>
                <w:b/>
                <w:sz w:val="24"/>
                <w:szCs w:val="24"/>
              </w:rPr>
              <w:t>- Theo Nghị quyết số 13/2021/NQ-HĐND ngày 19/10/2021 của HĐND tỉnh Khánh Hòa:</w:t>
            </w:r>
          </w:p>
          <w:p w14:paraId="4FEE13B6">
            <w:pPr>
              <w:spacing w:before="40" w:after="40"/>
              <w:ind w:left="140" w:right="98"/>
              <w:jc w:val="both"/>
              <w:rPr>
                <w:bCs/>
                <w:spacing w:val="-4"/>
                <w:sz w:val="24"/>
                <w:szCs w:val="24"/>
              </w:rPr>
            </w:pPr>
            <w:r>
              <w:rPr>
                <w:b/>
                <w:spacing w:val="-4"/>
                <w:sz w:val="24"/>
                <w:szCs w:val="24"/>
              </w:rPr>
              <w:t>Điều 1.</w:t>
            </w:r>
            <w:r>
              <w:rPr>
                <w:bCs/>
                <w:spacing w:val="-4"/>
                <w:sz w:val="24"/>
                <w:szCs w:val="24"/>
              </w:rPr>
              <w:t xml:space="preserve"> Quy định mức thu, nộp, quản lý và sử dụng phí đăng ký giao dịch bảo đảm, phí cung cấp thông tin về giao dịch bảo đảm bằng quyền sử dụng đất và tài sản gắn liền với đất trên địa bàn tỉnh Khánh Hòa.</w:t>
            </w:r>
          </w:p>
          <w:p w14:paraId="1CA0B88A">
            <w:pPr>
              <w:spacing w:before="40" w:after="40"/>
              <w:ind w:left="140" w:right="98"/>
              <w:jc w:val="both"/>
              <w:rPr>
                <w:b/>
                <w:sz w:val="24"/>
                <w:szCs w:val="24"/>
              </w:rPr>
            </w:pPr>
          </w:p>
          <w:p w14:paraId="0183D2A7">
            <w:pPr>
              <w:spacing w:before="40" w:after="40"/>
              <w:ind w:left="140" w:right="98"/>
              <w:jc w:val="both"/>
              <w:rPr>
                <w:rFonts w:hint="default"/>
                <w:b w:val="0"/>
                <w:bCs/>
                <w:sz w:val="24"/>
                <w:szCs w:val="24"/>
                <w:lang w:val="en-US"/>
              </w:rPr>
            </w:pPr>
            <w:r>
              <w:rPr>
                <w:b/>
                <w:sz w:val="24"/>
                <w:szCs w:val="24"/>
              </w:rPr>
              <w:t xml:space="preserve">- Theo Nghị quyết số 16/2020/NQ-HĐND ngày 10/12/2020 của HĐND tỉnh Ninh Thuận: </w:t>
            </w:r>
            <w:r>
              <w:rPr>
                <w:rFonts w:hint="default"/>
                <w:b w:val="0"/>
                <w:bCs/>
                <w:sz w:val="24"/>
                <w:szCs w:val="24"/>
                <w:lang w:val="en-US"/>
              </w:rPr>
              <w:t>Không quy định.</w:t>
            </w:r>
          </w:p>
          <w:p w14:paraId="2B7044BD">
            <w:pPr>
              <w:spacing w:before="40" w:after="40"/>
              <w:ind w:left="140" w:right="98"/>
              <w:jc w:val="both"/>
              <w:rPr>
                <w:bCs/>
                <w:spacing w:val="-4"/>
                <w:sz w:val="24"/>
                <w:szCs w:val="24"/>
              </w:rPr>
            </w:pPr>
          </w:p>
          <w:p w14:paraId="71CC00BC">
            <w:pPr>
              <w:spacing w:before="40" w:after="40"/>
              <w:ind w:left="140" w:right="98"/>
              <w:jc w:val="both"/>
              <w:rPr>
                <w:b/>
                <w:sz w:val="24"/>
                <w:szCs w:val="24"/>
              </w:rPr>
            </w:pPr>
          </w:p>
        </w:tc>
        <w:tc>
          <w:tcPr>
            <w:tcW w:w="1641" w:type="pct"/>
            <w:tcBorders>
              <w:top w:val="single" w:color="auto" w:sz="4" w:space="0"/>
              <w:left w:val="single" w:color="auto" w:sz="4" w:space="0"/>
              <w:bottom w:val="single" w:color="auto" w:sz="4" w:space="0"/>
              <w:right w:val="single" w:color="auto" w:sz="4" w:space="0"/>
            </w:tcBorders>
            <w:shd w:val="clear" w:color="auto" w:fill="FFFFFF"/>
            <w:vAlign w:val="center"/>
          </w:tcPr>
          <w:p w14:paraId="520E7684">
            <w:pPr>
              <w:spacing w:before="40" w:after="40"/>
              <w:ind w:left="140" w:right="98"/>
              <w:jc w:val="both"/>
              <w:rPr>
                <w:spacing w:val="3"/>
                <w:sz w:val="24"/>
                <w:szCs w:val="24"/>
                <w:shd w:val="clear" w:color="auto" w:fill="FFFFFF"/>
              </w:rPr>
            </w:pPr>
            <w:r>
              <w:rPr>
                <w:b/>
                <w:bCs/>
                <w:spacing w:val="-4"/>
                <w:sz w:val="24"/>
                <w:szCs w:val="24"/>
                <w:lang w:val="vi-VN"/>
              </w:rPr>
              <w:t>Điều 1.</w:t>
            </w:r>
            <w:r>
              <w:rPr>
                <w:bCs/>
                <w:spacing w:val="-4"/>
                <w:sz w:val="24"/>
                <w:szCs w:val="24"/>
              </w:rPr>
              <w:t xml:space="preserve"> Nghị quyết này quy định mức thu, nộp, quản lý và sử dụng phí đăng ký giao dịch bảo đảm; phí cung cấp thông tin về giao dịch bảo đảm bằng quyền sử dụng đất, tài sản gắn liền với đất trên địa bàn tỉnh Khánh Hòa, cụ thể như sau:</w:t>
            </w:r>
          </w:p>
        </w:tc>
        <w:tc>
          <w:tcPr>
            <w:tcW w:w="1551" w:type="pct"/>
            <w:tcBorders>
              <w:top w:val="single" w:color="auto" w:sz="4" w:space="0"/>
              <w:left w:val="single" w:color="auto" w:sz="4" w:space="0"/>
              <w:bottom w:val="single" w:color="auto" w:sz="4" w:space="0"/>
              <w:right w:val="single" w:color="auto" w:sz="4" w:space="0"/>
            </w:tcBorders>
            <w:shd w:val="clear" w:color="auto" w:fill="FFFFFF"/>
            <w:vAlign w:val="center"/>
          </w:tcPr>
          <w:p w14:paraId="4815D034">
            <w:pPr>
              <w:spacing w:before="40" w:after="40"/>
              <w:ind w:left="140" w:right="98"/>
              <w:jc w:val="both"/>
              <w:rPr>
                <w:sz w:val="24"/>
                <w:szCs w:val="24"/>
              </w:rPr>
            </w:pPr>
            <w:r>
              <w:rPr>
                <w:sz w:val="24"/>
                <w:szCs w:val="24"/>
              </w:rPr>
              <w:t>Thống nhất tên phí đăng ký giao dịch bảo đảm; phí cung cấp thông tin về giao dịch bảo đảm bằng quyền sử dụng đất, tài sản gắn liền với đất  theo quy định của Luật Phí và lệ phí.</w:t>
            </w:r>
          </w:p>
        </w:tc>
      </w:tr>
      <w:tr w14:paraId="1F09A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07" w:type="pct"/>
            <w:tcBorders>
              <w:top w:val="single" w:color="auto" w:sz="4" w:space="0"/>
              <w:left w:val="single" w:color="auto" w:sz="4" w:space="0"/>
              <w:bottom w:val="single" w:color="auto" w:sz="4" w:space="0"/>
              <w:right w:val="single" w:color="auto" w:sz="4" w:space="0"/>
            </w:tcBorders>
            <w:shd w:val="clear" w:color="auto" w:fill="FFFFFF"/>
            <w:vAlign w:val="center"/>
          </w:tcPr>
          <w:p w14:paraId="037DF985">
            <w:pPr>
              <w:spacing w:before="40" w:after="40"/>
              <w:ind w:left="140" w:right="98"/>
              <w:jc w:val="both"/>
              <w:rPr>
                <w:b/>
                <w:sz w:val="24"/>
                <w:szCs w:val="24"/>
              </w:rPr>
            </w:pPr>
            <w:r>
              <w:rPr>
                <w:b/>
                <w:sz w:val="24"/>
                <w:szCs w:val="24"/>
              </w:rPr>
              <w:t>1. Phạm vi điều chỉnh</w:t>
            </w:r>
          </w:p>
          <w:p w14:paraId="7A9A3ADA">
            <w:pPr>
              <w:spacing w:before="40" w:after="40"/>
              <w:ind w:left="140" w:right="98"/>
              <w:jc w:val="both"/>
              <w:rPr>
                <w:b/>
                <w:sz w:val="24"/>
                <w:szCs w:val="24"/>
              </w:rPr>
            </w:pPr>
          </w:p>
          <w:p w14:paraId="57082AD0">
            <w:pPr>
              <w:spacing w:before="40" w:after="40"/>
              <w:ind w:left="140" w:right="98"/>
              <w:jc w:val="both"/>
              <w:rPr>
                <w:b/>
                <w:sz w:val="24"/>
                <w:szCs w:val="24"/>
              </w:rPr>
            </w:pPr>
            <w:r>
              <w:rPr>
                <w:b/>
                <w:sz w:val="24"/>
                <w:szCs w:val="24"/>
              </w:rPr>
              <w:t>- Theo Nghị quyết số 13/2021/NQ-HĐND ngày 19/10/2021 của HĐND tỉnh Khánh Hòa: ./.</w:t>
            </w:r>
          </w:p>
          <w:p w14:paraId="36AD0E03">
            <w:pPr>
              <w:spacing w:before="40" w:after="40"/>
              <w:ind w:left="140" w:right="98"/>
              <w:jc w:val="both"/>
              <w:rPr>
                <w:b/>
                <w:sz w:val="24"/>
                <w:szCs w:val="24"/>
              </w:rPr>
            </w:pPr>
          </w:p>
          <w:p w14:paraId="48A3C305">
            <w:pPr>
              <w:spacing w:before="40" w:after="40"/>
              <w:ind w:left="140" w:right="98"/>
              <w:jc w:val="both"/>
              <w:rPr>
                <w:b/>
                <w:sz w:val="24"/>
                <w:szCs w:val="24"/>
              </w:rPr>
            </w:pPr>
            <w:r>
              <w:rPr>
                <w:b/>
                <w:sz w:val="24"/>
                <w:szCs w:val="24"/>
              </w:rPr>
              <w:t>- Theo Nghị quyết số 16/2020/NQ-HĐND ngày 10/12/2020 của HĐND tỉnh Ninh Thuận:</w:t>
            </w:r>
          </w:p>
          <w:p w14:paraId="78DE8515">
            <w:pPr>
              <w:spacing w:before="40" w:after="40"/>
              <w:ind w:left="140" w:right="98"/>
              <w:jc w:val="both"/>
              <w:rPr>
                <w:sz w:val="24"/>
                <w:szCs w:val="24"/>
              </w:rPr>
            </w:pPr>
            <w:r>
              <w:rPr>
                <w:sz w:val="24"/>
                <w:szCs w:val="24"/>
              </w:rPr>
              <w:t>1. Phạm vi điều chỉnh</w:t>
            </w:r>
          </w:p>
          <w:p w14:paraId="40A9EC7C">
            <w:pPr>
              <w:spacing w:before="40" w:after="40"/>
              <w:ind w:left="140" w:right="98"/>
              <w:jc w:val="both"/>
              <w:rPr>
                <w:b/>
                <w:sz w:val="24"/>
                <w:szCs w:val="24"/>
              </w:rPr>
            </w:pPr>
            <w:r>
              <w:rPr>
                <w:sz w:val="24"/>
                <w:szCs w:val="24"/>
              </w:rPr>
              <w:t>Nghị quyết này quy định mức thu, chế độ thu, nộp, quản lý và sử dụng phí đăng ký biện pháp bảo đảm bằng quyền sử dụng đất, tài sản gắn liền với đất trên địa bàn tỉnh Ninh Thuận.</w:t>
            </w:r>
          </w:p>
        </w:tc>
        <w:tc>
          <w:tcPr>
            <w:tcW w:w="1641" w:type="pct"/>
            <w:tcBorders>
              <w:top w:val="single" w:color="auto" w:sz="4" w:space="0"/>
              <w:left w:val="single" w:color="auto" w:sz="4" w:space="0"/>
              <w:bottom w:val="single" w:color="auto" w:sz="4" w:space="0"/>
              <w:right w:val="single" w:color="auto" w:sz="4" w:space="0"/>
            </w:tcBorders>
            <w:shd w:val="clear" w:color="auto" w:fill="FFFFFF"/>
            <w:vAlign w:val="center"/>
          </w:tcPr>
          <w:p w14:paraId="32AD463C">
            <w:pPr>
              <w:spacing w:before="40" w:after="40"/>
              <w:ind w:left="140" w:right="98"/>
              <w:jc w:val="both"/>
              <w:rPr>
                <w:sz w:val="24"/>
                <w:szCs w:val="24"/>
              </w:rPr>
            </w:pPr>
            <w:r>
              <w:rPr>
                <w:bCs/>
                <w:sz w:val="24"/>
                <w:szCs w:val="24"/>
              </w:rPr>
              <w:t>1</w:t>
            </w:r>
            <w:r>
              <w:rPr>
                <w:sz w:val="24"/>
                <w:szCs w:val="24"/>
              </w:rPr>
              <w:t>. Phạm vi điều chỉnh</w:t>
            </w:r>
          </w:p>
          <w:p w14:paraId="73E4BBF3">
            <w:pPr>
              <w:spacing w:before="40" w:after="40"/>
              <w:ind w:left="140" w:right="98"/>
              <w:jc w:val="both"/>
              <w:rPr>
                <w:sz w:val="24"/>
                <w:szCs w:val="24"/>
              </w:rPr>
            </w:pPr>
            <w:r>
              <w:rPr>
                <w:sz w:val="24"/>
                <w:szCs w:val="24"/>
              </w:rPr>
              <w:t xml:space="preserve">Nghị quyết này quy định mức thu, nộp, quản lý và sử dụng phí đăng ký giao dịch bảo đảm; phí cung cấp thông tin về giao dịch bảo đảm bằng quyền sử dụng đất, tài sản gắn liền với đất trên địa bàn tỉnh Khánh Hòa. </w:t>
            </w:r>
          </w:p>
          <w:p w14:paraId="11C6058F">
            <w:pPr>
              <w:spacing w:before="40" w:after="40"/>
              <w:ind w:left="140" w:right="98"/>
              <w:jc w:val="both"/>
              <w:rPr>
                <w:spacing w:val="3"/>
                <w:sz w:val="24"/>
                <w:szCs w:val="24"/>
                <w:shd w:val="clear" w:color="auto" w:fill="FFFFFF"/>
              </w:rPr>
            </w:pPr>
          </w:p>
        </w:tc>
        <w:tc>
          <w:tcPr>
            <w:tcW w:w="1551" w:type="pct"/>
            <w:tcBorders>
              <w:top w:val="single" w:color="auto" w:sz="4" w:space="0"/>
              <w:left w:val="single" w:color="auto" w:sz="4" w:space="0"/>
              <w:bottom w:val="single" w:color="auto" w:sz="4" w:space="0"/>
              <w:right w:val="single" w:color="auto" w:sz="4" w:space="0"/>
            </w:tcBorders>
            <w:shd w:val="clear" w:color="auto" w:fill="FFFFFF"/>
            <w:vAlign w:val="center"/>
          </w:tcPr>
          <w:p w14:paraId="0D460E7D">
            <w:pPr>
              <w:spacing w:before="40" w:after="40"/>
              <w:ind w:left="140" w:right="98"/>
              <w:jc w:val="both"/>
              <w:rPr>
                <w:sz w:val="24"/>
                <w:szCs w:val="24"/>
              </w:rPr>
            </w:pPr>
            <w:r>
              <w:rPr>
                <w:sz w:val="24"/>
                <w:szCs w:val="24"/>
              </w:rPr>
              <w:t>Thống nhất tên phí đăng ký giao dịch bảo đảm; phí cung cấp thông tin về giao dịch bảo đảm bằng quyền sử dụng đất, tài sản gắn liền với đất  theo quy định của Luật Phí và lệ phí.</w:t>
            </w:r>
          </w:p>
        </w:tc>
      </w:tr>
      <w:tr w14:paraId="6DDDC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07" w:type="pct"/>
            <w:tcBorders>
              <w:top w:val="single" w:color="auto" w:sz="4" w:space="0"/>
              <w:left w:val="single" w:color="auto" w:sz="4" w:space="0"/>
              <w:bottom w:val="single" w:color="auto" w:sz="4" w:space="0"/>
              <w:right w:val="single" w:color="auto" w:sz="4" w:space="0"/>
            </w:tcBorders>
            <w:shd w:val="clear" w:color="auto" w:fill="FFFFFF"/>
            <w:vAlign w:val="center"/>
          </w:tcPr>
          <w:p w14:paraId="5F1C0FB5">
            <w:pPr>
              <w:spacing w:before="40" w:after="40"/>
              <w:ind w:left="140" w:right="98"/>
              <w:jc w:val="both"/>
              <w:rPr>
                <w:b/>
                <w:sz w:val="24"/>
                <w:szCs w:val="24"/>
              </w:rPr>
            </w:pPr>
            <w:r>
              <w:rPr>
                <w:b/>
                <w:sz w:val="24"/>
                <w:szCs w:val="24"/>
              </w:rPr>
              <w:t>2. Đối t</w:t>
            </w:r>
            <w:r>
              <w:rPr>
                <w:rFonts w:hint="eastAsia"/>
                <w:b/>
                <w:sz w:val="24"/>
                <w:szCs w:val="24"/>
              </w:rPr>
              <w:t>ư</w:t>
            </w:r>
            <w:r>
              <w:rPr>
                <w:b/>
                <w:sz w:val="24"/>
                <w:szCs w:val="24"/>
              </w:rPr>
              <w:t>ợng áp dụng:</w:t>
            </w:r>
          </w:p>
          <w:p w14:paraId="1C4FF8F7">
            <w:pPr>
              <w:spacing w:before="40" w:after="40"/>
              <w:ind w:left="140" w:right="98"/>
              <w:jc w:val="both"/>
              <w:rPr>
                <w:b/>
                <w:sz w:val="24"/>
                <w:szCs w:val="24"/>
              </w:rPr>
            </w:pPr>
          </w:p>
          <w:p w14:paraId="21ED66F7">
            <w:pPr>
              <w:spacing w:before="40" w:after="40"/>
              <w:ind w:left="140" w:right="98"/>
              <w:jc w:val="both"/>
              <w:rPr>
                <w:b/>
                <w:sz w:val="24"/>
                <w:szCs w:val="24"/>
              </w:rPr>
            </w:pPr>
            <w:r>
              <w:rPr>
                <w:b/>
                <w:sz w:val="24"/>
                <w:szCs w:val="24"/>
              </w:rPr>
              <w:t xml:space="preserve">- Theo Nghị quyết số 13/2021/NQ-HĐND ngày 19/10/2021 của HĐND tỉnh Khánh Hòa: </w:t>
            </w:r>
          </w:p>
          <w:p w14:paraId="455819E6">
            <w:pPr>
              <w:spacing w:before="40" w:after="40"/>
              <w:ind w:left="140" w:right="98"/>
              <w:jc w:val="both"/>
              <w:rPr>
                <w:sz w:val="24"/>
                <w:szCs w:val="24"/>
              </w:rPr>
            </w:pPr>
            <w:r>
              <w:rPr>
                <w:sz w:val="24"/>
                <w:szCs w:val="24"/>
              </w:rPr>
              <w:t>1. Đối tượng nộp phí</w:t>
            </w:r>
          </w:p>
          <w:p w14:paraId="46C31D72">
            <w:pPr>
              <w:spacing w:before="40" w:after="40"/>
              <w:ind w:left="140" w:right="98"/>
              <w:jc w:val="both"/>
              <w:rPr>
                <w:sz w:val="24"/>
                <w:szCs w:val="24"/>
              </w:rPr>
            </w:pPr>
            <w:r>
              <w:rPr>
                <w:sz w:val="24"/>
                <w:szCs w:val="24"/>
              </w:rPr>
              <w:t>Các tổ chức, cá nhân có yêu cầu đăng ký giao dịch bảo đảm và cung cấp thông tin giao dịch bảo đảm bằng quyền sử dụng đất và tài sản gắn liền với đất trên địa bàn tỉnh Khánh Hòa.</w:t>
            </w:r>
          </w:p>
          <w:p w14:paraId="05BACCD7">
            <w:pPr>
              <w:spacing w:before="40" w:after="40"/>
              <w:ind w:left="140" w:right="98"/>
              <w:jc w:val="both"/>
              <w:rPr>
                <w:b/>
                <w:sz w:val="24"/>
                <w:szCs w:val="24"/>
              </w:rPr>
            </w:pPr>
          </w:p>
          <w:p w14:paraId="5C12575B">
            <w:pPr>
              <w:spacing w:before="40" w:after="40"/>
              <w:ind w:left="140" w:right="98"/>
              <w:jc w:val="both"/>
              <w:rPr>
                <w:b/>
                <w:sz w:val="24"/>
                <w:szCs w:val="24"/>
              </w:rPr>
            </w:pPr>
            <w:r>
              <w:rPr>
                <w:b/>
                <w:sz w:val="24"/>
                <w:szCs w:val="24"/>
              </w:rPr>
              <w:t>- Theo Nghị quyết số 16/2020/NQ-HĐND ngày 10/12/2020 của HĐND tỉnh Ninh Thuận:</w:t>
            </w:r>
          </w:p>
          <w:p w14:paraId="1ADF8D34">
            <w:pPr>
              <w:spacing w:before="40" w:after="40"/>
              <w:ind w:left="140" w:right="98"/>
              <w:jc w:val="both"/>
              <w:rPr>
                <w:sz w:val="24"/>
                <w:szCs w:val="24"/>
              </w:rPr>
            </w:pPr>
            <w:r>
              <w:rPr>
                <w:sz w:val="24"/>
                <w:szCs w:val="24"/>
              </w:rPr>
              <w:t>2. Đối tượng áp dụng:</w:t>
            </w:r>
          </w:p>
          <w:p w14:paraId="1DEA328E">
            <w:pPr>
              <w:spacing w:before="40" w:after="40"/>
              <w:ind w:left="140" w:right="98"/>
              <w:jc w:val="both"/>
              <w:rPr>
                <w:sz w:val="24"/>
                <w:szCs w:val="24"/>
              </w:rPr>
            </w:pPr>
            <w:r>
              <w:rPr>
                <w:sz w:val="24"/>
                <w:szCs w:val="24"/>
              </w:rPr>
              <w:t>a) Cơ quan thu phí: Văn phòng Đăng ký đất đai Ninh Thuận trực thuộc Sở Tài nguyên và Môi trường.</w:t>
            </w:r>
          </w:p>
          <w:p w14:paraId="0230A5F1">
            <w:pPr>
              <w:spacing w:before="40" w:after="40"/>
              <w:ind w:left="140" w:right="98"/>
              <w:jc w:val="both"/>
              <w:rPr>
                <w:sz w:val="24"/>
                <w:szCs w:val="24"/>
              </w:rPr>
            </w:pPr>
            <w:r>
              <w:rPr>
                <w:sz w:val="24"/>
                <w:szCs w:val="24"/>
              </w:rPr>
              <w:t>b) Đối tượng nộp phí: Tổ chức, hộ gia đình, cá nhân yêu cầu đăng ký biện pháp bảo đảm bằng quyền sử dụng đất, tài sản gắn liền với đất trên địa bàn tỉnh Ninh Thuận.</w:t>
            </w:r>
          </w:p>
          <w:p w14:paraId="2BC88B63">
            <w:pPr>
              <w:spacing w:before="40" w:after="40"/>
              <w:ind w:left="140" w:right="98"/>
              <w:jc w:val="both"/>
              <w:rPr>
                <w:sz w:val="24"/>
                <w:szCs w:val="24"/>
              </w:rPr>
            </w:pPr>
            <w:r>
              <w:rPr>
                <w:sz w:val="24"/>
                <w:szCs w:val="24"/>
              </w:rPr>
              <w:t>c) Đối tượng được miễn thu phí:</w:t>
            </w:r>
          </w:p>
          <w:p w14:paraId="4C4FBB01">
            <w:pPr>
              <w:spacing w:before="40" w:after="40"/>
              <w:ind w:left="140" w:right="98"/>
              <w:jc w:val="both"/>
              <w:rPr>
                <w:sz w:val="24"/>
                <w:szCs w:val="24"/>
              </w:rPr>
            </w:pPr>
            <w:r>
              <w:rPr>
                <w:sz w:val="24"/>
                <w:szCs w:val="24"/>
              </w:rPr>
              <w:t>- Cá nhân, hộ gia đình vay vốn tại tổ chức tín dụng thuộc một trong các lĩnh vực cho vay phục vụ phát triển nông nghiệp, nông thôn quy định tại Điều 4 Nghị định số </w:t>
            </w:r>
            <w:r>
              <w:fldChar w:fldCharType="begin"/>
            </w:r>
            <w:r>
              <w:instrText xml:space="preserve"> HYPERLINK "https://thuvienphapluat.vn/van-ban/tien-te-ngan-hang/nghi-dinh-55-2015-nd-cp-chinh-sach-tin-dung-phuc-vu-phat-trien-nong-nghiep-nong-thon-277254.aspx" \t "https://thuvienphapluat.vn/van-ban/Thue-Phi-Le-Phi/_blank" \o "Nghị định 55/2015/NĐ-CP" </w:instrText>
            </w:r>
            <w:r>
              <w:fldChar w:fldCharType="separate"/>
            </w:r>
            <w:r>
              <w:rPr>
                <w:sz w:val="24"/>
                <w:szCs w:val="24"/>
              </w:rPr>
              <w:t>55/2015/NĐ-CP</w:t>
            </w:r>
            <w:r>
              <w:rPr>
                <w:sz w:val="24"/>
                <w:szCs w:val="24"/>
              </w:rPr>
              <w:fldChar w:fldCharType="end"/>
            </w:r>
            <w:r>
              <w:rPr>
                <w:sz w:val="24"/>
                <w:szCs w:val="24"/>
              </w:rPr>
              <w:t> ngày 09 tháng 6 năm 2015 của Chính phủ về chính sách tín dụng phục vụ phát triển nông nghiệp, nông thôn.</w:t>
            </w:r>
          </w:p>
          <w:p w14:paraId="6A376ADE">
            <w:pPr>
              <w:spacing w:before="40" w:after="40"/>
              <w:ind w:left="140" w:right="98"/>
              <w:jc w:val="both"/>
              <w:rPr>
                <w:sz w:val="24"/>
                <w:szCs w:val="24"/>
              </w:rPr>
            </w:pPr>
            <w:r>
              <w:rPr>
                <w:sz w:val="24"/>
                <w:szCs w:val="24"/>
              </w:rPr>
              <w:t>- Cá nhân, hộ gia đình là đối tượng không phải nộp phí khi thực hiện đăng ký biện pháp bảo đảm theo quy định của pháp luật về chính sách tín dụng phục vụ phát triển nông nghiệp, nông thôn, khi thực hiện đăng ký thay đổi nội dung biện pháp bảo đảm đã đăng ký, đăng ký văn bản thông báo xử lý tài sản bảo đảm, xóa đăng ký biện pháp bảo đảm được miễn nộp phí.</w:t>
            </w:r>
          </w:p>
          <w:p w14:paraId="355DDCEE">
            <w:pPr>
              <w:spacing w:before="40" w:after="40"/>
              <w:ind w:left="140" w:right="98"/>
              <w:jc w:val="both"/>
              <w:rPr>
                <w:sz w:val="24"/>
                <w:szCs w:val="24"/>
              </w:rPr>
            </w:pPr>
            <w:r>
              <w:rPr>
                <w:sz w:val="24"/>
                <w:szCs w:val="24"/>
              </w:rPr>
              <w:t>- Yêu cầu sửa chữa sai sót về nội dung đăng ký biện pháp bảo đảm đã đăng ký do lỗi của người thực hiện đăng ký.</w:t>
            </w:r>
          </w:p>
          <w:p w14:paraId="536BDA42">
            <w:pPr>
              <w:spacing w:before="40" w:after="40"/>
              <w:ind w:left="140" w:right="98"/>
              <w:jc w:val="both"/>
              <w:rPr>
                <w:sz w:val="24"/>
                <w:szCs w:val="24"/>
              </w:rPr>
            </w:pPr>
            <w:r>
              <w:rPr>
                <w:sz w:val="24"/>
                <w:szCs w:val="24"/>
              </w:rPr>
              <w:t>- Thông báo việc kê biên tài sản thi hành án, yêu cầu thay đổi nội dung đã thông báo việc kê biên tài sản thi hành án, xóa thông báo việc kê biên của Chấp hành viên theo quy định của pháp luật thi hành án.</w:t>
            </w:r>
          </w:p>
          <w:p w14:paraId="16DA31BC">
            <w:pPr>
              <w:spacing w:before="40" w:after="40"/>
              <w:ind w:left="140" w:right="98"/>
              <w:jc w:val="both"/>
              <w:rPr>
                <w:b/>
                <w:sz w:val="24"/>
                <w:szCs w:val="24"/>
              </w:rPr>
            </w:pPr>
            <w:r>
              <w:rPr>
                <w:sz w:val="24"/>
                <w:szCs w:val="24"/>
              </w:rPr>
              <w:t>d) Đối tượng được giảm thu phí: Giảm 50% mức thu phí theo quy định đối với các đối tượng là: hộ nghèo, người có công với cách mạng, đồng bào dân tộc thiểu số ở các xã, thôn có điều kiện kinh tế - xã hội đặc biệt khó khăn.</w:t>
            </w:r>
          </w:p>
        </w:tc>
        <w:tc>
          <w:tcPr>
            <w:tcW w:w="1641" w:type="pct"/>
            <w:tcBorders>
              <w:top w:val="single" w:color="auto" w:sz="4" w:space="0"/>
              <w:left w:val="single" w:color="auto" w:sz="4" w:space="0"/>
              <w:bottom w:val="single" w:color="auto" w:sz="4" w:space="0"/>
              <w:right w:val="single" w:color="auto" w:sz="4" w:space="0"/>
            </w:tcBorders>
            <w:shd w:val="clear" w:color="auto" w:fill="FFFFFF"/>
            <w:vAlign w:val="center"/>
          </w:tcPr>
          <w:p w14:paraId="3EDE4F93">
            <w:pPr>
              <w:spacing w:before="40" w:after="40"/>
              <w:ind w:left="140" w:right="98"/>
              <w:jc w:val="both"/>
              <w:rPr>
                <w:sz w:val="24"/>
                <w:szCs w:val="24"/>
              </w:rPr>
            </w:pPr>
            <w:bookmarkStart w:id="1" w:name="_Hlk212904004"/>
            <w:r>
              <w:rPr>
                <w:sz w:val="24"/>
                <w:szCs w:val="24"/>
                <w:lang w:val="vi-VN"/>
              </w:rPr>
              <w:t xml:space="preserve">2. Đối tượng </w:t>
            </w:r>
            <w:r>
              <w:rPr>
                <w:sz w:val="24"/>
                <w:szCs w:val="24"/>
              </w:rPr>
              <w:t>áp dụng</w:t>
            </w:r>
          </w:p>
          <w:bookmarkEnd w:id="1"/>
          <w:p w14:paraId="654EBC75">
            <w:pPr>
              <w:spacing w:before="40" w:after="40"/>
              <w:ind w:left="140" w:right="98"/>
              <w:jc w:val="both"/>
              <w:rPr>
                <w:sz w:val="24"/>
                <w:szCs w:val="24"/>
              </w:rPr>
            </w:pPr>
            <w:r>
              <w:rPr>
                <w:sz w:val="24"/>
                <w:szCs w:val="24"/>
              </w:rPr>
              <w:t>a) Tổ chức, cá nhân có yêu cầu đăng ký giao dịch bảo đảm; cung cấp thông tin về giao dịch bảo đảm bằng quyền sử dụng đất, tài sản gắn liền với đất trên địa bàn tỉnh Khánh Hòa.</w:t>
            </w:r>
          </w:p>
          <w:p w14:paraId="2116E529">
            <w:pPr>
              <w:spacing w:before="40" w:after="40"/>
              <w:ind w:left="140" w:right="98"/>
              <w:jc w:val="both"/>
              <w:rPr>
                <w:spacing w:val="3"/>
                <w:sz w:val="24"/>
                <w:szCs w:val="24"/>
                <w:shd w:val="clear" w:color="auto" w:fill="FFFFFF"/>
              </w:rPr>
            </w:pPr>
            <w:r>
              <w:rPr>
                <w:sz w:val="24"/>
                <w:szCs w:val="24"/>
              </w:rPr>
              <w:t>b) Các cơ quan nhà nước và tổ chức, cá nhân có liên quan đến việc thu, nộp, quản lý và sử dụng phí đăng ký giao dịch bảo đảm; phí cung cấp thông tin về giao dịch bảo đảm bằng quyền sử dụng đất, tài sản gắn liền với đất trên địa bàn tỉnh Khánh Hòa.</w:t>
            </w:r>
          </w:p>
        </w:tc>
        <w:tc>
          <w:tcPr>
            <w:tcW w:w="1551" w:type="pct"/>
            <w:tcBorders>
              <w:top w:val="single" w:color="auto" w:sz="4" w:space="0"/>
              <w:left w:val="single" w:color="auto" w:sz="4" w:space="0"/>
              <w:bottom w:val="single" w:color="auto" w:sz="4" w:space="0"/>
              <w:right w:val="single" w:color="auto" w:sz="4" w:space="0"/>
            </w:tcBorders>
            <w:shd w:val="clear" w:color="auto" w:fill="FFFFFF"/>
            <w:vAlign w:val="center"/>
          </w:tcPr>
          <w:p w14:paraId="32BBE0A4">
            <w:pPr>
              <w:spacing w:before="40" w:after="40"/>
              <w:ind w:left="140" w:right="98"/>
              <w:jc w:val="both"/>
              <w:rPr>
                <w:sz w:val="24"/>
                <w:szCs w:val="24"/>
              </w:rPr>
            </w:pPr>
            <w:r>
              <w:rPr>
                <w:sz w:val="24"/>
                <w:szCs w:val="24"/>
              </w:rPr>
              <w:t>- Phù hợp với quy định về đối tượng áp dụng tại Điều 2, Nghị định số 99/2022/NĐ-CP ngày 30 tháng 11 năm 2022 của Chính phủ quy định về đăng ký biện pháp bảo đảm.</w:t>
            </w:r>
          </w:p>
          <w:p w14:paraId="337CFF6A">
            <w:pPr>
              <w:spacing w:before="40" w:after="40"/>
              <w:ind w:left="140" w:right="98"/>
              <w:jc w:val="both"/>
              <w:rPr>
                <w:sz w:val="24"/>
                <w:szCs w:val="24"/>
              </w:rPr>
            </w:pPr>
            <w:r>
              <w:rPr>
                <w:sz w:val="24"/>
                <w:szCs w:val="24"/>
              </w:rPr>
              <w:t>- Phù hợp với quy định tại Điều 2, Điều 4, Điều 6, Điều 7 của Luật Phí và lệ phí năm 2015.</w:t>
            </w:r>
          </w:p>
        </w:tc>
      </w:tr>
      <w:tr w14:paraId="4FE39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07" w:type="pct"/>
            <w:tcBorders>
              <w:top w:val="single" w:color="auto" w:sz="4" w:space="0"/>
              <w:left w:val="single" w:color="auto" w:sz="4" w:space="0"/>
              <w:bottom w:val="single" w:color="auto" w:sz="4" w:space="0"/>
              <w:right w:val="single" w:color="auto" w:sz="4" w:space="0"/>
            </w:tcBorders>
            <w:shd w:val="clear" w:color="auto" w:fill="FFFFFF"/>
            <w:vAlign w:val="center"/>
          </w:tcPr>
          <w:p w14:paraId="0D23796A">
            <w:pPr>
              <w:spacing w:before="40" w:after="40"/>
              <w:ind w:left="140" w:right="98"/>
              <w:jc w:val="both"/>
              <w:rPr>
                <w:b/>
                <w:bCs/>
                <w:sz w:val="24"/>
                <w:szCs w:val="24"/>
              </w:rPr>
            </w:pPr>
            <w:r>
              <w:rPr>
                <w:b/>
                <w:bCs/>
                <w:sz w:val="24"/>
                <w:szCs w:val="24"/>
              </w:rPr>
              <w:t xml:space="preserve">3. Tổ chức thu phí: </w:t>
            </w:r>
          </w:p>
          <w:p w14:paraId="182DCFDB">
            <w:pPr>
              <w:spacing w:before="40" w:after="40"/>
              <w:ind w:left="140" w:right="98"/>
              <w:jc w:val="both"/>
              <w:rPr>
                <w:b/>
                <w:sz w:val="24"/>
                <w:szCs w:val="24"/>
              </w:rPr>
            </w:pPr>
          </w:p>
          <w:p w14:paraId="349D52D7">
            <w:pPr>
              <w:spacing w:before="40" w:after="40"/>
              <w:ind w:left="140" w:right="98"/>
              <w:jc w:val="both"/>
              <w:rPr>
                <w:b/>
                <w:sz w:val="24"/>
                <w:szCs w:val="24"/>
              </w:rPr>
            </w:pPr>
            <w:r>
              <w:rPr>
                <w:b/>
                <w:sz w:val="24"/>
                <w:szCs w:val="24"/>
              </w:rPr>
              <w:t xml:space="preserve">- Theo Nghị quyết số 13/2021/NQ-HĐND ngày 19/10/2021 của HĐND tỉnh Khánh Hòa: </w:t>
            </w:r>
          </w:p>
          <w:p w14:paraId="64C153C4">
            <w:pPr>
              <w:spacing w:before="40" w:after="40"/>
              <w:ind w:left="140" w:right="98"/>
              <w:jc w:val="both"/>
              <w:rPr>
                <w:sz w:val="24"/>
                <w:szCs w:val="24"/>
              </w:rPr>
            </w:pPr>
            <w:r>
              <w:rPr>
                <w:sz w:val="24"/>
                <w:szCs w:val="24"/>
              </w:rPr>
              <w:t>2. Cơ quan thu phí</w:t>
            </w:r>
          </w:p>
          <w:p w14:paraId="6527926D">
            <w:pPr>
              <w:spacing w:before="40" w:after="40"/>
              <w:ind w:left="140" w:right="98"/>
              <w:jc w:val="both"/>
              <w:rPr>
                <w:sz w:val="24"/>
                <w:szCs w:val="24"/>
              </w:rPr>
            </w:pPr>
            <w:r>
              <w:rPr>
                <w:sz w:val="24"/>
                <w:szCs w:val="24"/>
              </w:rPr>
              <w:t>- Văn phòng Đăng ký đất đai Khánh Hòa.</w:t>
            </w:r>
          </w:p>
          <w:p w14:paraId="6CCCB03C">
            <w:pPr>
              <w:spacing w:before="40" w:after="40"/>
              <w:ind w:left="140" w:right="98"/>
              <w:jc w:val="both"/>
              <w:rPr>
                <w:sz w:val="24"/>
                <w:szCs w:val="24"/>
              </w:rPr>
            </w:pPr>
            <w:r>
              <w:rPr>
                <w:sz w:val="24"/>
                <w:szCs w:val="24"/>
              </w:rPr>
              <w:t>- Chi nhánh Văn phòng Đăng ký đất đai tại các huyện, thị xã, thành phố.</w:t>
            </w:r>
          </w:p>
          <w:p w14:paraId="208F3E38">
            <w:pPr>
              <w:spacing w:before="40" w:after="40"/>
              <w:ind w:left="140" w:right="98"/>
              <w:jc w:val="both"/>
              <w:rPr>
                <w:sz w:val="24"/>
                <w:szCs w:val="24"/>
              </w:rPr>
            </w:pPr>
          </w:p>
          <w:p w14:paraId="487BD293">
            <w:pPr>
              <w:spacing w:before="40" w:after="40"/>
              <w:ind w:left="140" w:right="98"/>
              <w:jc w:val="both"/>
              <w:rPr>
                <w:b/>
                <w:sz w:val="24"/>
                <w:szCs w:val="24"/>
              </w:rPr>
            </w:pPr>
            <w:r>
              <w:rPr>
                <w:b/>
                <w:sz w:val="24"/>
                <w:szCs w:val="24"/>
              </w:rPr>
              <w:t>- Theo Nghị quyết số 16/2020/NQ-HĐND ngày 10/12/2020 của HĐND tỉnh Ninh Thuận:</w:t>
            </w:r>
          </w:p>
          <w:p w14:paraId="330F9610">
            <w:pPr>
              <w:spacing w:before="40" w:after="40"/>
              <w:ind w:left="140" w:right="98"/>
              <w:jc w:val="both"/>
              <w:rPr>
                <w:sz w:val="24"/>
                <w:szCs w:val="24"/>
              </w:rPr>
            </w:pPr>
            <w:r>
              <w:rPr>
                <w:sz w:val="24"/>
                <w:szCs w:val="24"/>
              </w:rPr>
              <w:t>2. Đối tượng áp dụng:</w:t>
            </w:r>
          </w:p>
          <w:p w14:paraId="0D5EF05C">
            <w:pPr>
              <w:spacing w:before="40" w:after="40"/>
              <w:ind w:left="140" w:right="98"/>
              <w:jc w:val="both"/>
              <w:rPr>
                <w:sz w:val="24"/>
                <w:szCs w:val="24"/>
              </w:rPr>
            </w:pPr>
            <w:r>
              <w:rPr>
                <w:sz w:val="24"/>
                <w:szCs w:val="24"/>
              </w:rPr>
              <w:t>a) Cơ quan thu phí: Văn phòng Đăng ký đất đai Ninh Thuận trực thuộc Sở Tài nguyên và Môi trường.</w:t>
            </w:r>
          </w:p>
          <w:p w14:paraId="21E10CD1">
            <w:pPr>
              <w:spacing w:before="40" w:after="40"/>
              <w:ind w:left="140" w:right="98"/>
              <w:jc w:val="both"/>
              <w:rPr>
                <w:sz w:val="24"/>
                <w:szCs w:val="24"/>
              </w:rPr>
            </w:pPr>
          </w:p>
        </w:tc>
        <w:tc>
          <w:tcPr>
            <w:tcW w:w="1641" w:type="pct"/>
            <w:tcBorders>
              <w:top w:val="single" w:color="auto" w:sz="4" w:space="0"/>
              <w:left w:val="single" w:color="auto" w:sz="4" w:space="0"/>
              <w:bottom w:val="single" w:color="auto" w:sz="4" w:space="0"/>
              <w:right w:val="single" w:color="auto" w:sz="4" w:space="0"/>
            </w:tcBorders>
            <w:shd w:val="clear" w:color="auto" w:fill="FFFFFF"/>
            <w:vAlign w:val="center"/>
          </w:tcPr>
          <w:p w14:paraId="2D87F76C">
            <w:pPr>
              <w:spacing w:before="40" w:after="40"/>
              <w:ind w:left="140" w:right="98"/>
              <w:jc w:val="both"/>
              <w:rPr>
                <w:sz w:val="24"/>
                <w:szCs w:val="24"/>
              </w:rPr>
            </w:pPr>
            <w:bookmarkStart w:id="2" w:name="_Hlk212904559"/>
            <w:r>
              <w:rPr>
                <w:sz w:val="24"/>
                <w:szCs w:val="24"/>
                <w:lang w:val="vi-VN"/>
              </w:rPr>
              <w:t xml:space="preserve">3. </w:t>
            </w:r>
            <w:bookmarkStart w:id="3" w:name="_Hlk210896908"/>
            <w:r>
              <w:rPr>
                <w:sz w:val="24"/>
                <w:szCs w:val="24"/>
                <w:lang w:val="vi-VN"/>
              </w:rPr>
              <w:t>Tổ chức thu phí</w:t>
            </w:r>
            <w:bookmarkEnd w:id="2"/>
            <w:bookmarkEnd w:id="3"/>
            <w:r>
              <w:rPr>
                <w:sz w:val="24"/>
                <w:szCs w:val="24"/>
                <w:lang w:val="vi-VN"/>
              </w:rPr>
              <w:t>: Văn phòng Đăng ký đất đai Khánh Hòa</w:t>
            </w:r>
            <w:r>
              <w:rPr>
                <w:sz w:val="24"/>
                <w:szCs w:val="24"/>
              </w:rPr>
              <w:t>.</w:t>
            </w:r>
          </w:p>
        </w:tc>
        <w:tc>
          <w:tcPr>
            <w:tcW w:w="1551" w:type="pct"/>
            <w:tcBorders>
              <w:top w:val="single" w:color="auto" w:sz="4" w:space="0"/>
              <w:left w:val="single" w:color="auto" w:sz="4" w:space="0"/>
              <w:bottom w:val="single" w:color="auto" w:sz="4" w:space="0"/>
              <w:right w:val="single" w:color="auto" w:sz="4" w:space="0"/>
            </w:tcBorders>
            <w:shd w:val="clear" w:color="auto" w:fill="FFFFFF"/>
            <w:vAlign w:val="center"/>
          </w:tcPr>
          <w:p w14:paraId="27E4D1C6">
            <w:pPr>
              <w:spacing w:after="120" w:line="264" w:lineRule="auto"/>
              <w:jc w:val="both"/>
              <w:rPr>
                <w:i/>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Tổ chức thực hiện và thu phí đăng ký giao dịch bảo đảm thực hiện theo quy định tại Điều 10, Nghị định 99/2022/NĐ-CP của Chính phủ về đăng ký biện pháp bảo đảm: "</w:t>
            </w:r>
            <w:r>
              <w:rPr>
                <w:i/>
                <w:color w:val="000000" w:themeColor="text1"/>
                <w:sz w:val="24"/>
                <w:szCs w:val="24"/>
                <w14:textFill>
                  <w14:solidFill>
                    <w14:schemeClr w14:val="tx1"/>
                  </w14:solidFill>
                </w14:textFill>
              </w:rPr>
              <w:t xml:space="preserve">1. </w:t>
            </w:r>
            <w:r>
              <w:rPr>
                <w:i/>
                <w:color w:val="000000" w:themeColor="text1"/>
                <w:sz w:val="24"/>
                <w:szCs w:val="24"/>
                <w:u w:val="single"/>
                <w14:textFill>
                  <w14:solidFill>
                    <w14:schemeClr w14:val="tx1"/>
                  </w14:solidFill>
                </w14:textFill>
              </w:rPr>
              <w:t>Văn phòng đăng ký đất đai</w:t>
            </w:r>
            <w:r>
              <w:rPr>
                <w:i/>
                <w:color w:val="000000" w:themeColor="text1"/>
                <w:sz w:val="24"/>
                <w:szCs w:val="24"/>
                <w14:textFill>
                  <w14:solidFill>
                    <w14:schemeClr w14:val="tx1"/>
                  </w14:solidFill>
                </w14:textFill>
              </w:rPr>
              <w:t xml:space="preserve"> trực thuộc Sở Tài nguyên và Môi trường, Chi nhánh của Văn phòng đăng ký đất đai (sau đây gọi là Văn phòng đăng ký đất đai) </w:t>
            </w:r>
            <w:r>
              <w:rPr>
                <w:i/>
                <w:color w:val="000000" w:themeColor="text1"/>
                <w:sz w:val="24"/>
                <w:szCs w:val="24"/>
                <w:u w:val="single"/>
                <w14:textFill>
                  <w14:solidFill>
                    <w14:schemeClr w14:val="tx1"/>
                  </w14:solidFill>
                </w14:textFill>
              </w:rPr>
              <w:t>thực hiện đăng ký, cung cấp thông tin về biện pháp bảo đảm</w:t>
            </w:r>
            <w:r>
              <w:rPr>
                <w:i/>
                <w:color w:val="000000" w:themeColor="text1"/>
                <w:sz w:val="24"/>
                <w:szCs w:val="24"/>
                <w14:textFill>
                  <w14:solidFill>
                    <w14:schemeClr w14:val="tx1"/>
                  </w14:solidFill>
                </w14:textFill>
              </w:rPr>
              <w:t xml:space="preserve"> bằng quyền sử dụng đất, tài sản gắn liền với đất quy định tại Điều 25 Nghị định này.".</w:t>
            </w:r>
          </w:p>
          <w:p w14:paraId="776CDC3C">
            <w:pPr>
              <w:spacing w:before="40" w:after="40"/>
              <w:ind w:right="98"/>
              <w:jc w:val="both"/>
              <w:rPr>
                <w:sz w:val="24"/>
                <w:szCs w:val="24"/>
                <w:highlight w:val="yellow"/>
              </w:rPr>
            </w:pPr>
            <w:r>
              <w:rPr>
                <w:sz w:val="24"/>
                <w:szCs w:val="24"/>
              </w:rPr>
              <w:t>- Phù hợp với chức năng, nhiệm vụ của Văn phòng Đăng ký đất đai Khánh Hòa quy định tại khoản 2 Điều 2 Quyết định số 1221/QĐ-UBND ngày 17/09/2025 của UBND tỉnh Khánh Hòa về việc thành lập Văn phòng Đăng ký đất đai Khánh Hòa trực thuộc Sở Nông nghiệp và Môi trường tỉnh Khánh Hòa (sau sắp xếp) trên cơ sở hợp nhất Văn phòng Đăng ký đất đai Khánh Hòa và Văn phòng Đăng ký đất đai Ninh Thuận.</w:t>
            </w:r>
          </w:p>
        </w:tc>
      </w:tr>
      <w:tr w14:paraId="0A593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07" w:type="pct"/>
            <w:tcBorders>
              <w:top w:val="single" w:color="auto" w:sz="4" w:space="0"/>
              <w:left w:val="single" w:color="auto" w:sz="4" w:space="0"/>
              <w:bottom w:val="single" w:color="auto" w:sz="4" w:space="0"/>
              <w:right w:val="single" w:color="auto" w:sz="4" w:space="0"/>
            </w:tcBorders>
            <w:shd w:val="clear" w:color="auto" w:fill="FFFFFF"/>
            <w:vAlign w:val="center"/>
          </w:tcPr>
          <w:p w14:paraId="1989BC54">
            <w:pPr>
              <w:numPr>
                <w:ilvl w:val="0"/>
                <w:numId w:val="2"/>
              </w:numPr>
              <w:spacing w:before="40" w:after="40"/>
              <w:ind w:left="140" w:right="98"/>
              <w:jc w:val="both"/>
              <w:rPr>
                <w:b/>
                <w:bCs/>
                <w:sz w:val="24"/>
                <w:szCs w:val="24"/>
              </w:rPr>
            </w:pPr>
            <w:r>
              <w:rPr>
                <w:b/>
                <w:bCs/>
                <w:sz w:val="24"/>
                <w:szCs w:val="24"/>
              </w:rPr>
              <w:t>Mức thu phí:</w:t>
            </w:r>
          </w:p>
          <w:p w14:paraId="5E1E7AD8">
            <w:pPr>
              <w:spacing w:before="40" w:after="40"/>
              <w:ind w:right="98"/>
              <w:jc w:val="both"/>
              <w:rPr>
                <w:sz w:val="24"/>
                <w:szCs w:val="24"/>
              </w:rPr>
            </w:pPr>
          </w:p>
          <w:p w14:paraId="1BEDC9F8">
            <w:pPr>
              <w:spacing w:before="40" w:after="40"/>
              <w:ind w:left="140" w:right="98"/>
              <w:jc w:val="both"/>
              <w:rPr>
                <w:b/>
                <w:sz w:val="24"/>
                <w:szCs w:val="24"/>
              </w:rPr>
            </w:pPr>
            <w:r>
              <w:rPr>
                <w:b/>
                <w:sz w:val="24"/>
                <w:szCs w:val="24"/>
              </w:rPr>
              <w:t xml:space="preserve">- Theo Nghị quyết số 13/2021/NQ-HĐND ngày 19/10/2021 của HĐND tỉnh Khánh Hòa: </w:t>
            </w:r>
          </w:p>
          <w:p w14:paraId="1464104A">
            <w:pPr>
              <w:spacing w:before="40" w:after="40"/>
              <w:ind w:left="140" w:right="98"/>
              <w:jc w:val="both"/>
              <w:rPr>
                <w:sz w:val="24"/>
                <w:szCs w:val="24"/>
              </w:rPr>
            </w:pPr>
            <w:r>
              <w:rPr>
                <w:sz w:val="24"/>
                <w:szCs w:val="24"/>
              </w:rPr>
              <w:t>4. Mức thu phí</w:t>
            </w:r>
          </w:p>
          <w:p w14:paraId="5DB865FA">
            <w:pPr>
              <w:spacing w:before="40" w:after="40"/>
              <w:ind w:left="140" w:right="98"/>
              <w:jc w:val="both"/>
              <w:rPr>
                <w:sz w:val="24"/>
                <w:szCs w:val="24"/>
              </w:rPr>
            </w:pPr>
            <w:r>
              <w:rPr>
                <w:sz w:val="24"/>
                <w:szCs w:val="24"/>
              </w:rPr>
              <w:t>a) Đối với thực hiện giao dịch trực tiếp</w:t>
            </w:r>
          </w:p>
          <w:p w14:paraId="50C8C80C">
            <w:pPr>
              <w:spacing w:before="40" w:after="40"/>
              <w:ind w:left="140" w:right="98"/>
              <w:jc w:val="both"/>
              <w:rPr>
                <w:sz w:val="24"/>
                <w:szCs w:val="24"/>
              </w:rPr>
            </w:pPr>
            <w:r>
              <w:rPr>
                <w:sz w:val="24"/>
                <w:szCs w:val="24"/>
              </w:rPr>
              <w:t>Mức thu phí đăng k</w:t>
            </w:r>
            <w:r>
              <w:rPr>
                <w:rFonts w:hint="default"/>
                <w:sz w:val="24"/>
                <w:szCs w:val="24"/>
                <w:lang w:val="en-US"/>
              </w:rPr>
              <w:t>ý</w:t>
            </w:r>
            <w:bookmarkStart w:id="5" w:name="_GoBack"/>
            <w:bookmarkEnd w:id="5"/>
            <w:r>
              <w:rPr>
                <w:sz w:val="24"/>
                <w:szCs w:val="24"/>
              </w:rPr>
              <w:t xml:space="preserve"> giao dịch bảo đảm</w:t>
            </w:r>
          </w:p>
          <w:tbl>
            <w:tblPr>
              <w:tblStyle w:val="6"/>
              <w:tblW w:w="5000" w:type="pct"/>
              <w:tblCellSpacing w:w="0" w:type="dxa"/>
              <w:tblInd w:w="0" w:type="dxa"/>
              <w:shd w:val="clear" w:color="auto" w:fill="FFFFFF"/>
              <w:tblLayout w:type="autofit"/>
              <w:tblCellMar>
                <w:top w:w="0" w:type="dxa"/>
                <w:left w:w="0" w:type="dxa"/>
                <w:bottom w:w="0" w:type="dxa"/>
                <w:right w:w="0" w:type="dxa"/>
              </w:tblCellMar>
            </w:tblPr>
            <w:tblGrid>
              <w:gridCol w:w="523"/>
              <w:gridCol w:w="4128"/>
              <w:gridCol w:w="1105"/>
            </w:tblGrid>
            <w:tr w14:paraId="16189649">
              <w:tblPrEx>
                <w:shd w:val="clear" w:color="auto" w:fill="FFFFFF"/>
                <w:tblCellMar>
                  <w:top w:w="0" w:type="dxa"/>
                  <w:left w:w="0" w:type="dxa"/>
                  <w:bottom w:w="0" w:type="dxa"/>
                  <w:right w:w="0" w:type="dxa"/>
                </w:tblCellMar>
              </w:tblPrEx>
              <w:trPr>
                <w:tblCellSpacing w:w="0" w:type="dxa"/>
              </w:trPr>
              <w:tc>
                <w:tcPr>
                  <w:tcW w:w="450" w:type="pct"/>
                  <w:tcBorders>
                    <w:top w:val="single" w:color="auto" w:sz="8" w:space="0"/>
                    <w:left w:val="single" w:color="auto" w:sz="8" w:space="0"/>
                    <w:bottom w:val="nil"/>
                    <w:right w:val="nil"/>
                  </w:tcBorders>
                  <w:shd w:val="clear" w:color="auto" w:fill="FFFFFF"/>
                  <w:vAlign w:val="center"/>
                </w:tcPr>
                <w:p w14:paraId="55CB0B63">
                  <w:pPr>
                    <w:pStyle w:val="17"/>
                    <w:spacing w:before="120" w:beforeAutospacing="0" w:after="120" w:afterAutospacing="0" w:line="225" w:lineRule="atLeast"/>
                    <w:jc w:val="center"/>
                  </w:pPr>
                  <w:r>
                    <w:rPr>
                      <w:b/>
                      <w:bCs/>
                      <w:color w:val="000000"/>
                    </w:rPr>
                    <w:t>STT</w:t>
                  </w:r>
                </w:p>
              </w:tc>
              <w:tc>
                <w:tcPr>
                  <w:tcW w:w="3550" w:type="pct"/>
                  <w:tcBorders>
                    <w:top w:val="single" w:color="auto" w:sz="8" w:space="0"/>
                    <w:left w:val="single" w:color="auto" w:sz="8" w:space="0"/>
                    <w:bottom w:val="nil"/>
                    <w:right w:val="nil"/>
                  </w:tcBorders>
                  <w:shd w:val="clear" w:color="auto" w:fill="FFFFFF"/>
                  <w:vAlign w:val="center"/>
                </w:tcPr>
                <w:p w14:paraId="25413F8A">
                  <w:pPr>
                    <w:pStyle w:val="17"/>
                    <w:spacing w:before="120" w:beforeAutospacing="0" w:after="120" w:afterAutospacing="0" w:line="225" w:lineRule="atLeast"/>
                    <w:jc w:val="center"/>
                  </w:pPr>
                  <w:r>
                    <w:rPr>
                      <w:b/>
                      <w:bCs/>
                      <w:color w:val="000000"/>
                    </w:rPr>
                    <w:t>Các trường hợp nộp phí</w:t>
                  </w:r>
                </w:p>
              </w:tc>
              <w:tc>
                <w:tcPr>
                  <w:tcW w:w="950" w:type="pct"/>
                  <w:tcBorders>
                    <w:top w:val="single" w:color="auto" w:sz="8" w:space="0"/>
                    <w:left w:val="single" w:color="auto" w:sz="8" w:space="0"/>
                    <w:bottom w:val="nil"/>
                    <w:right w:val="single" w:color="auto" w:sz="8" w:space="0"/>
                  </w:tcBorders>
                  <w:shd w:val="clear" w:color="auto" w:fill="FFFFFF"/>
                  <w:vAlign w:val="center"/>
                </w:tcPr>
                <w:p w14:paraId="14962A38">
                  <w:pPr>
                    <w:pStyle w:val="17"/>
                    <w:spacing w:before="120" w:beforeAutospacing="0" w:after="120" w:afterAutospacing="0" w:line="225" w:lineRule="atLeast"/>
                    <w:jc w:val="center"/>
                  </w:pPr>
                  <w:r>
                    <w:rPr>
                      <w:b/>
                      <w:bCs/>
                      <w:color w:val="000000"/>
                    </w:rPr>
                    <w:t>Mức thu (đồng/hồ sơ)</w:t>
                  </w:r>
                </w:p>
              </w:tc>
            </w:tr>
            <w:tr w14:paraId="5C0CA2CA">
              <w:tblPrEx>
                <w:shd w:val="clear" w:color="auto" w:fill="FFFFFF"/>
                <w:tblCellMar>
                  <w:top w:w="0" w:type="dxa"/>
                  <w:left w:w="0" w:type="dxa"/>
                  <w:bottom w:w="0" w:type="dxa"/>
                  <w:right w:w="0" w:type="dxa"/>
                </w:tblCellMar>
              </w:tblPrEx>
              <w:trPr>
                <w:tblCellSpacing w:w="0" w:type="dxa"/>
              </w:trPr>
              <w:tc>
                <w:tcPr>
                  <w:tcW w:w="450" w:type="pct"/>
                  <w:tcBorders>
                    <w:top w:val="single" w:color="auto" w:sz="8" w:space="0"/>
                    <w:left w:val="single" w:color="auto" w:sz="8" w:space="0"/>
                    <w:bottom w:val="nil"/>
                    <w:right w:val="nil"/>
                  </w:tcBorders>
                  <w:shd w:val="clear" w:color="auto" w:fill="FFFFFF"/>
                  <w:vAlign w:val="center"/>
                </w:tcPr>
                <w:p w14:paraId="4C28DE36">
                  <w:pPr>
                    <w:pStyle w:val="17"/>
                    <w:spacing w:before="120" w:beforeAutospacing="0" w:after="120" w:afterAutospacing="0" w:line="225" w:lineRule="atLeast"/>
                    <w:jc w:val="center"/>
                  </w:pPr>
                  <w:r>
                    <w:rPr>
                      <w:color w:val="000000"/>
                    </w:rPr>
                    <w:t>1</w:t>
                  </w:r>
                </w:p>
              </w:tc>
              <w:tc>
                <w:tcPr>
                  <w:tcW w:w="3550" w:type="pct"/>
                  <w:tcBorders>
                    <w:top w:val="single" w:color="auto" w:sz="8" w:space="0"/>
                    <w:left w:val="single" w:color="auto" w:sz="8" w:space="0"/>
                    <w:bottom w:val="nil"/>
                    <w:right w:val="nil"/>
                  </w:tcBorders>
                  <w:shd w:val="clear" w:color="auto" w:fill="FFFFFF"/>
                  <w:vAlign w:val="center"/>
                </w:tcPr>
                <w:p w14:paraId="1942E301">
                  <w:pPr>
                    <w:pStyle w:val="17"/>
                    <w:spacing w:before="120" w:beforeAutospacing="0" w:after="120" w:afterAutospacing="0" w:line="225" w:lineRule="atLeast"/>
                    <w:jc w:val="both"/>
                  </w:pPr>
                  <w:r>
                    <w:rPr>
                      <w:color w:val="000000"/>
                    </w:rPr>
                    <w:t>Đăng ký giao dịch bảo đảm</w:t>
                  </w:r>
                </w:p>
              </w:tc>
              <w:tc>
                <w:tcPr>
                  <w:tcW w:w="950" w:type="pct"/>
                  <w:tcBorders>
                    <w:top w:val="single" w:color="auto" w:sz="8" w:space="0"/>
                    <w:left w:val="single" w:color="auto" w:sz="8" w:space="0"/>
                    <w:bottom w:val="nil"/>
                    <w:right w:val="single" w:color="auto" w:sz="8" w:space="0"/>
                  </w:tcBorders>
                  <w:shd w:val="clear" w:color="auto" w:fill="FFFFFF"/>
                  <w:vAlign w:val="center"/>
                </w:tcPr>
                <w:p w14:paraId="35F600F8">
                  <w:pPr>
                    <w:pStyle w:val="17"/>
                    <w:spacing w:before="120" w:beforeAutospacing="0" w:after="120" w:afterAutospacing="0" w:line="225" w:lineRule="atLeast"/>
                    <w:jc w:val="center"/>
                  </w:pPr>
                  <w:r>
                    <w:rPr>
                      <w:color w:val="000000"/>
                    </w:rPr>
                    <w:t>65.000</w:t>
                  </w:r>
                </w:p>
              </w:tc>
            </w:tr>
            <w:tr w14:paraId="4B983617">
              <w:tblPrEx>
                <w:shd w:val="clear" w:color="auto" w:fill="FFFFFF"/>
                <w:tblCellMar>
                  <w:top w:w="0" w:type="dxa"/>
                  <w:left w:w="0" w:type="dxa"/>
                  <w:bottom w:w="0" w:type="dxa"/>
                  <w:right w:w="0" w:type="dxa"/>
                </w:tblCellMar>
              </w:tblPrEx>
              <w:trPr>
                <w:tblCellSpacing w:w="0" w:type="dxa"/>
              </w:trPr>
              <w:tc>
                <w:tcPr>
                  <w:tcW w:w="450" w:type="pct"/>
                  <w:tcBorders>
                    <w:top w:val="single" w:color="auto" w:sz="8" w:space="0"/>
                    <w:left w:val="single" w:color="auto" w:sz="8" w:space="0"/>
                    <w:bottom w:val="nil"/>
                    <w:right w:val="nil"/>
                  </w:tcBorders>
                  <w:shd w:val="clear" w:color="auto" w:fill="FFFFFF"/>
                  <w:vAlign w:val="center"/>
                </w:tcPr>
                <w:p w14:paraId="735C2082">
                  <w:pPr>
                    <w:pStyle w:val="17"/>
                    <w:spacing w:before="120" w:beforeAutospacing="0" w:after="120" w:afterAutospacing="0" w:line="225" w:lineRule="atLeast"/>
                    <w:jc w:val="center"/>
                  </w:pPr>
                  <w:r>
                    <w:rPr>
                      <w:color w:val="000000"/>
                    </w:rPr>
                    <w:t>2</w:t>
                  </w:r>
                </w:p>
              </w:tc>
              <w:tc>
                <w:tcPr>
                  <w:tcW w:w="3550" w:type="pct"/>
                  <w:tcBorders>
                    <w:top w:val="single" w:color="auto" w:sz="8" w:space="0"/>
                    <w:left w:val="single" w:color="auto" w:sz="8" w:space="0"/>
                    <w:bottom w:val="nil"/>
                    <w:right w:val="nil"/>
                  </w:tcBorders>
                  <w:shd w:val="clear" w:color="auto" w:fill="FFFFFF"/>
                  <w:vAlign w:val="center"/>
                </w:tcPr>
                <w:p w14:paraId="406F4C47">
                  <w:pPr>
                    <w:pStyle w:val="17"/>
                    <w:spacing w:before="120" w:beforeAutospacing="0" w:after="120" w:afterAutospacing="0" w:line="225" w:lineRule="atLeast"/>
                    <w:jc w:val="both"/>
                  </w:pPr>
                  <w:r>
                    <w:rPr>
                      <w:color w:val="000000"/>
                    </w:rPr>
                    <w:t>Đăng ký văn bản thông báo về việc xử lý tài sản bảo đảm</w:t>
                  </w:r>
                </w:p>
              </w:tc>
              <w:tc>
                <w:tcPr>
                  <w:tcW w:w="950" w:type="pct"/>
                  <w:tcBorders>
                    <w:top w:val="single" w:color="auto" w:sz="8" w:space="0"/>
                    <w:left w:val="single" w:color="auto" w:sz="8" w:space="0"/>
                    <w:bottom w:val="nil"/>
                    <w:right w:val="single" w:color="auto" w:sz="8" w:space="0"/>
                  </w:tcBorders>
                  <w:shd w:val="clear" w:color="auto" w:fill="FFFFFF"/>
                  <w:vAlign w:val="center"/>
                </w:tcPr>
                <w:p w14:paraId="3EECC020">
                  <w:pPr>
                    <w:pStyle w:val="17"/>
                    <w:spacing w:before="120" w:beforeAutospacing="0" w:after="120" w:afterAutospacing="0" w:line="225" w:lineRule="atLeast"/>
                    <w:jc w:val="center"/>
                  </w:pPr>
                  <w:r>
                    <w:rPr>
                      <w:color w:val="000000"/>
                    </w:rPr>
                    <w:t>55.000</w:t>
                  </w:r>
                </w:p>
              </w:tc>
            </w:tr>
            <w:tr w14:paraId="582F1823">
              <w:tblPrEx>
                <w:shd w:val="clear" w:color="auto" w:fill="FFFFFF"/>
                <w:tblCellMar>
                  <w:top w:w="0" w:type="dxa"/>
                  <w:left w:w="0" w:type="dxa"/>
                  <w:bottom w:w="0" w:type="dxa"/>
                  <w:right w:w="0" w:type="dxa"/>
                </w:tblCellMar>
              </w:tblPrEx>
              <w:trPr>
                <w:tblCellSpacing w:w="0" w:type="dxa"/>
              </w:trPr>
              <w:tc>
                <w:tcPr>
                  <w:tcW w:w="450" w:type="pct"/>
                  <w:tcBorders>
                    <w:top w:val="single" w:color="auto" w:sz="8" w:space="0"/>
                    <w:left w:val="single" w:color="auto" w:sz="8" w:space="0"/>
                    <w:bottom w:val="nil"/>
                    <w:right w:val="nil"/>
                  </w:tcBorders>
                  <w:shd w:val="clear" w:color="auto" w:fill="FFFFFF"/>
                  <w:vAlign w:val="center"/>
                </w:tcPr>
                <w:p w14:paraId="7F41CEF6">
                  <w:pPr>
                    <w:pStyle w:val="17"/>
                    <w:spacing w:before="120" w:beforeAutospacing="0" w:after="120" w:afterAutospacing="0" w:line="225" w:lineRule="atLeast"/>
                    <w:jc w:val="center"/>
                  </w:pPr>
                  <w:r>
                    <w:rPr>
                      <w:color w:val="000000"/>
                    </w:rPr>
                    <w:t>3</w:t>
                  </w:r>
                </w:p>
              </w:tc>
              <w:tc>
                <w:tcPr>
                  <w:tcW w:w="3550" w:type="pct"/>
                  <w:tcBorders>
                    <w:top w:val="single" w:color="auto" w:sz="8" w:space="0"/>
                    <w:left w:val="single" w:color="auto" w:sz="8" w:space="0"/>
                    <w:bottom w:val="nil"/>
                    <w:right w:val="nil"/>
                  </w:tcBorders>
                  <w:shd w:val="clear" w:color="auto" w:fill="FFFFFF"/>
                  <w:vAlign w:val="center"/>
                </w:tcPr>
                <w:p w14:paraId="17A0A352">
                  <w:pPr>
                    <w:pStyle w:val="17"/>
                    <w:spacing w:before="120" w:beforeAutospacing="0" w:after="120" w:afterAutospacing="0" w:line="225" w:lineRule="atLeast"/>
                    <w:jc w:val="both"/>
                  </w:pPr>
                  <w:r>
                    <w:rPr>
                      <w:color w:val="000000"/>
                    </w:rPr>
                    <w:t>Đăng ký thay đổi nội dung giao dịch bảo đảm đã đăng ký</w:t>
                  </w:r>
                </w:p>
              </w:tc>
              <w:tc>
                <w:tcPr>
                  <w:tcW w:w="950" w:type="pct"/>
                  <w:tcBorders>
                    <w:top w:val="single" w:color="auto" w:sz="8" w:space="0"/>
                    <w:left w:val="single" w:color="auto" w:sz="8" w:space="0"/>
                    <w:bottom w:val="nil"/>
                    <w:right w:val="single" w:color="auto" w:sz="8" w:space="0"/>
                  </w:tcBorders>
                  <w:shd w:val="clear" w:color="auto" w:fill="FFFFFF"/>
                  <w:vAlign w:val="center"/>
                </w:tcPr>
                <w:p w14:paraId="0E1D4972">
                  <w:pPr>
                    <w:pStyle w:val="17"/>
                    <w:spacing w:before="120" w:beforeAutospacing="0" w:after="120" w:afterAutospacing="0" w:line="225" w:lineRule="atLeast"/>
                    <w:jc w:val="center"/>
                  </w:pPr>
                  <w:r>
                    <w:rPr>
                      <w:color w:val="000000"/>
                    </w:rPr>
                    <w:t>50.000</w:t>
                  </w:r>
                </w:p>
              </w:tc>
            </w:tr>
            <w:tr w14:paraId="618410FE">
              <w:tblPrEx>
                <w:shd w:val="clear" w:color="auto" w:fill="FFFFFF"/>
                <w:tblCellMar>
                  <w:top w:w="0" w:type="dxa"/>
                  <w:left w:w="0" w:type="dxa"/>
                  <w:bottom w:w="0" w:type="dxa"/>
                  <w:right w:w="0" w:type="dxa"/>
                </w:tblCellMar>
              </w:tblPrEx>
              <w:trPr>
                <w:tblCellSpacing w:w="0" w:type="dxa"/>
              </w:trPr>
              <w:tc>
                <w:tcPr>
                  <w:tcW w:w="450" w:type="pct"/>
                  <w:tcBorders>
                    <w:top w:val="single" w:color="auto" w:sz="8" w:space="0"/>
                    <w:left w:val="single" w:color="auto" w:sz="8" w:space="0"/>
                    <w:bottom w:val="single" w:color="auto" w:sz="8" w:space="0"/>
                    <w:right w:val="nil"/>
                  </w:tcBorders>
                  <w:shd w:val="clear" w:color="auto" w:fill="FFFFFF"/>
                  <w:vAlign w:val="center"/>
                </w:tcPr>
                <w:p w14:paraId="2825DF2D">
                  <w:pPr>
                    <w:pStyle w:val="17"/>
                    <w:spacing w:before="120" w:beforeAutospacing="0" w:after="120" w:afterAutospacing="0" w:line="225" w:lineRule="atLeast"/>
                    <w:jc w:val="center"/>
                  </w:pPr>
                  <w:r>
                    <w:rPr>
                      <w:color w:val="000000"/>
                    </w:rPr>
                    <w:t>4</w:t>
                  </w:r>
                </w:p>
              </w:tc>
              <w:tc>
                <w:tcPr>
                  <w:tcW w:w="3550" w:type="pct"/>
                  <w:tcBorders>
                    <w:top w:val="single" w:color="auto" w:sz="8" w:space="0"/>
                    <w:left w:val="single" w:color="auto" w:sz="8" w:space="0"/>
                    <w:bottom w:val="single" w:color="auto" w:sz="8" w:space="0"/>
                    <w:right w:val="nil"/>
                  </w:tcBorders>
                  <w:shd w:val="clear" w:color="auto" w:fill="FFFFFF"/>
                  <w:vAlign w:val="center"/>
                </w:tcPr>
                <w:p w14:paraId="573F4A72">
                  <w:pPr>
                    <w:pStyle w:val="17"/>
                    <w:spacing w:before="120" w:beforeAutospacing="0" w:after="120" w:afterAutospacing="0" w:line="225" w:lineRule="atLeast"/>
                    <w:jc w:val="both"/>
                  </w:pPr>
                  <w:r>
                    <w:rPr>
                      <w:color w:val="000000"/>
                    </w:rPr>
                    <w:t>Xóa đăng ký giao dịch bảo đảm</w:t>
                  </w:r>
                </w:p>
              </w:tc>
              <w:tc>
                <w:tcPr>
                  <w:tcW w:w="950" w:type="pct"/>
                  <w:tcBorders>
                    <w:top w:val="single" w:color="auto" w:sz="8" w:space="0"/>
                    <w:left w:val="single" w:color="auto" w:sz="8" w:space="0"/>
                    <w:bottom w:val="single" w:color="auto" w:sz="8" w:space="0"/>
                    <w:right w:val="single" w:color="auto" w:sz="8" w:space="0"/>
                  </w:tcBorders>
                  <w:shd w:val="clear" w:color="auto" w:fill="FFFFFF"/>
                  <w:vAlign w:val="center"/>
                </w:tcPr>
                <w:p w14:paraId="3ECE05BA">
                  <w:pPr>
                    <w:pStyle w:val="17"/>
                    <w:spacing w:before="120" w:beforeAutospacing="0" w:after="120" w:afterAutospacing="0" w:line="225" w:lineRule="atLeast"/>
                    <w:jc w:val="center"/>
                  </w:pPr>
                  <w:r>
                    <w:rPr>
                      <w:color w:val="000000"/>
                    </w:rPr>
                    <w:t>15.000</w:t>
                  </w:r>
                </w:p>
              </w:tc>
            </w:tr>
          </w:tbl>
          <w:p w14:paraId="65F7925F">
            <w:pPr>
              <w:spacing w:before="40" w:after="40"/>
              <w:ind w:left="140" w:right="98"/>
              <w:jc w:val="both"/>
              <w:rPr>
                <w:sz w:val="24"/>
                <w:szCs w:val="24"/>
              </w:rPr>
            </w:pPr>
            <w:r>
              <w:rPr>
                <w:sz w:val="24"/>
                <w:szCs w:val="24"/>
              </w:rPr>
              <w:t>Mức thu phí cung cấp thông tin về giao dịch bảo đảm bằng quyền sử dụng đất và tài sản gắn liền với đất: 25.000 đồng/trường hợp.</w:t>
            </w:r>
          </w:p>
          <w:p w14:paraId="5AEC9BD1">
            <w:pPr>
              <w:spacing w:before="40" w:after="40"/>
              <w:ind w:left="140" w:right="98"/>
              <w:jc w:val="both"/>
              <w:rPr>
                <w:sz w:val="24"/>
                <w:szCs w:val="24"/>
              </w:rPr>
            </w:pPr>
          </w:p>
          <w:p w14:paraId="1D80152D">
            <w:pPr>
              <w:spacing w:before="40" w:after="40"/>
              <w:ind w:left="140" w:right="98"/>
              <w:jc w:val="both"/>
              <w:rPr>
                <w:b/>
                <w:sz w:val="24"/>
                <w:szCs w:val="24"/>
              </w:rPr>
            </w:pPr>
            <w:r>
              <w:rPr>
                <w:b/>
                <w:sz w:val="24"/>
                <w:szCs w:val="24"/>
              </w:rPr>
              <w:t>- Theo Nghị quyết số 16/2020/NQ-HĐND ngày 10/12/2020 của HĐND tỉnh Ninh Thuận:</w:t>
            </w:r>
          </w:p>
          <w:p w14:paraId="382B19A3">
            <w:pPr>
              <w:spacing w:before="40" w:after="40"/>
              <w:ind w:left="140" w:right="98"/>
              <w:jc w:val="both"/>
              <w:rPr>
                <w:sz w:val="24"/>
                <w:szCs w:val="24"/>
              </w:rPr>
            </w:pPr>
            <w:r>
              <w:rPr>
                <w:sz w:val="24"/>
                <w:szCs w:val="24"/>
              </w:rPr>
              <w:t>Điều 2. Mức thu, chế độ thu, nộp, quản lý và sử dụng phí</w:t>
            </w:r>
          </w:p>
          <w:p w14:paraId="1A7C5777">
            <w:pPr>
              <w:spacing w:before="40" w:after="40"/>
              <w:ind w:left="140" w:right="98"/>
              <w:jc w:val="both"/>
              <w:rPr>
                <w:sz w:val="24"/>
                <w:szCs w:val="24"/>
              </w:rPr>
            </w:pPr>
            <w:r>
              <w:rPr>
                <w:sz w:val="24"/>
                <w:szCs w:val="24"/>
              </w:rPr>
              <w:t>1. Mức thu:</w:t>
            </w:r>
          </w:p>
          <w:p w14:paraId="5A7FA3D9">
            <w:pPr>
              <w:spacing w:before="40" w:after="40"/>
              <w:ind w:left="140" w:right="98"/>
              <w:jc w:val="both"/>
              <w:rPr>
                <w:sz w:val="24"/>
                <w:szCs w:val="24"/>
              </w:rPr>
            </w:pPr>
            <w:r>
              <w:rPr>
                <w:sz w:val="24"/>
                <w:szCs w:val="24"/>
              </w:rPr>
              <w:t>Mức thu phí đăng ký biện pháp bảo đảm bằng quyền sử dụng đất, tài sản gắn liền với đất:</w:t>
            </w:r>
          </w:p>
          <w:tbl>
            <w:tblPr>
              <w:tblStyle w:val="6"/>
              <w:tblW w:w="5000" w:type="pct"/>
              <w:tblCellSpacing w:w="0" w:type="dxa"/>
              <w:tblInd w:w="0" w:type="dxa"/>
              <w:shd w:val="clear" w:color="auto" w:fill="FFFFFF"/>
              <w:tblLayout w:type="autofit"/>
              <w:tblCellMar>
                <w:top w:w="0" w:type="dxa"/>
                <w:left w:w="0" w:type="dxa"/>
                <w:bottom w:w="0" w:type="dxa"/>
                <w:right w:w="0" w:type="dxa"/>
              </w:tblCellMar>
            </w:tblPr>
            <w:tblGrid>
              <w:gridCol w:w="474"/>
              <w:gridCol w:w="3331"/>
              <w:gridCol w:w="1951"/>
            </w:tblGrid>
            <w:tr w14:paraId="722FA7F0">
              <w:tblPrEx>
                <w:tblCellMar>
                  <w:top w:w="0" w:type="dxa"/>
                  <w:left w:w="0" w:type="dxa"/>
                  <w:bottom w:w="0" w:type="dxa"/>
                  <w:right w:w="0" w:type="dxa"/>
                </w:tblCellMar>
              </w:tblPrEx>
              <w:trPr>
                <w:tblCellSpacing w:w="0" w:type="dxa"/>
              </w:trPr>
              <w:tc>
                <w:tcPr>
                  <w:tcW w:w="400" w:type="pct"/>
                  <w:tcBorders>
                    <w:top w:val="single" w:color="auto" w:sz="8" w:space="0"/>
                    <w:left w:val="single" w:color="auto" w:sz="8" w:space="0"/>
                    <w:bottom w:val="nil"/>
                    <w:right w:val="nil"/>
                  </w:tcBorders>
                  <w:shd w:val="clear" w:color="auto" w:fill="FFFFFF"/>
                  <w:vAlign w:val="center"/>
                </w:tcPr>
                <w:p w14:paraId="46A6BAA0">
                  <w:pPr>
                    <w:pStyle w:val="17"/>
                    <w:spacing w:before="120" w:beforeAutospacing="0" w:after="120" w:afterAutospacing="0" w:line="225" w:lineRule="atLeast"/>
                    <w:jc w:val="center"/>
                  </w:pPr>
                  <w:r>
                    <w:rPr>
                      <w:b/>
                      <w:bCs/>
                      <w:color w:val="000000"/>
                    </w:rPr>
                    <w:t>STT</w:t>
                  </w:r>
                </w:p>
              </w:tc>
              <w:tc>
                <w:tcPr>
                  <w:tcW w:w="2900" w:type="pct"/>
                  <w:tcBorders>
                    <w:top w:val="single" w:color="auto" w:sz="8" w:space="0"/>
                    <w:left w:val="single" w:color="auto" w:sz="8" w:space="0"/>
                    <w:bottom w:val="nil"/>
                    <w:right w:val="nil"/>
                  </w:tcBorders>
                  <w:shd w:val="clear" w:color="auto" w:fill="FFFFFF"/>
                  <w:vAlign w:val="center"/>
                </w:tcPr>
                <w:p w14:paraId="5A63EC41">
                  <w:pPr>
                    <w:pStyle w:val="17"/>
                    <w:spacing w:before="120" w:beforeAutospacing="0" w:after="120" w:afterAutospacing="0" w:line="225" w:lineRule="atLeast"/>
                    <w:jc w:val="center"/>
                  </w:pPr>
                  <w:r>
                    <w:rPr>
                      <w:b/>
                      <w:bCs/>
                      <w:color w:val="000000"/>
                    </w:rPr>
                    <w:t>Các trường hợp nộp phí</w:t>
                  </w:r>
                </w:p>
              </w:tc>
              <w:tc>
                <w:tcPr>
                  <w:tcW w:w="1650" w:type="pct"/>
                  <w:tcBorders>
                    <w:top w:val="single" w:color="auto" w:sz="8" w:space="0"/>
                    <w:left w:val="single" w:color="auto" w:sz="8" w:space="0"/>
                    <w:bottom w:val="nil"/>
                    <w:right w:val="single" w:color="auto" w:sz="8" w:space="0"/>
                  </w:tcBorders>
                  <w:shd w:val="clear" w:color="auto" w:fill="FFFFFF"/>
                  <w:vAlign w:val="center"/>
                </w:tcPr>
                <w:p w14:paraId="6972FEAC">
                  <w:pPr>
                    <w:pStyle w:val="17"/>
                    <w:spacing w:before="120" w:beforeAutospacing="0" w:after="120" w:afterAutospacing="0" w:line="225" w:lineRule="atLeast"/>
                    <w:jc w:val="center"/>
                  </w:pPr>
                  <w:r>
                    <w:rPr>
                      <w:b/>
                      <w:bCs/>
                      <w:color w:val="000000"/>
                    </w:rPr>
                    <w:t>Mức thu</w:t>
                  </w:r>
                  <w:r>
                    <w:rPr>
                      <w:b/>
                      <w:bCs/>
                      <w:color w:val="000000"/>
                    </w:rPr>
                    <w:br w:type="textWrapping"/>
                  </w:r>
                  <w:r>
                    <w:rPr>
                      <w:b/>
                      <w:bCs/>
                      <w:color w:val="000000"/>
                    </w:rPr>
                    <w:t>(đồng/giấy chứng nhận)</w:t>
                  </w:r>
                </w:p>
              </w:tc>
            </w:tr>
            <w:tr w14:paraId="71B38342">
              <w:tblPrEx>
                <w:shd w:val="clear" w:color="auto" w:fill="FFFFFF"/>
                <w:tblCellMar>
                  <w:top w:w="0" w:type="dxa"/>
                  <w:left w:w="0" w:type="dxa"/>
                  <w:bottom w:w="0" w:type="dxa"/>
                  <w:right w:w="0" w:type="dxa"/>
                </w:tblCellMar>
              </w:tblPrEx>
              <w:trPr>
                <w:tblCellSpacing w:w="0" w:type="dxa"/>
              </w:trPr>
              <w:tc>
                <w:tcPr>
                  <w:tcW w:w="400" w:type="pct"/>
                  <w:tcBorders>
                    <w:top w:val="single" w:color="auto" w:sz="8" w:space="0"/>
                    <w:left w:val="single" w:color="auto" w:sz="8" w:space="0"/>
                    <w:bottom w:val="nil"/>
                    <w:right w:val="nil"/>
                  </w:tcBorders>
                  <w:shd w:val="clear" w:color="auto" w:fill="FFFFFF"/>
                </w:tcPr>
                <w:p w14:paraId="60270D9F">
                  <w:pPr>
                    <w:pStyle w:val="17"/>
                    <w:spacing w:before="120" w:beforeAutospacing="0" w:after="120" w:afterAutospacing="0" w:line="225" w:lineRule="atLeast"/>
                    <w:jc w:val="center"/>
                  </w:pPr>
                  <w:r>
                    <w:rPr>
                      <w:color w:val="000000"/>
                    </w:rPr>
                    <w:t>1</w:t>
                  </w:r>
                </w:p>
              </w:tc>
              <w:tc>
                <w:tcPr>
                  <w:tcW w:w="2900" w:type="pct"/>
                  <w:tcBorders>
                    <w:top w:val="single" w:color="auto" w:sz="8" w:space="0"/>
                    <w:left w:val="single" w:color="auto" w:sz="8" w:space="0"/>
                    <w:bottom w:val="nil"/>
                    <w:right w:val="nil"/>
                  </w:tcBorders>
                  <w:shd w:val="clear" w:color="auto" w:fill="FFFFFF"/>
                </w:tcPr>
                <w:p w14:paraId="4BCE1479">
                  <w:pPr>
                    <w:pStyle w:val="17"/>
                    <w:spacing w:before="120" w:beforeAutospacing="0" w:after="120" w:afterAutospacing="0" w:line="225" w:lineRule="atLeast"/>
                    <w:jc w:val="both"/>
                  </w:pPr>
                  <w:r>
                    <w:rPr>
                      <w:color w:val="000000"/>
                    </w:rPr>
                    <w:t>Đăng ký biện pháp bảo đảm</w:t>
                  </w:r>
                </w:p>
              </w:tc>
              <w:tc>
                <w:tcPr>
                  <w:tcW w:w="1650" w:type="pct"/>
                  <w:tcBorders>
                    <w:top w:val="single" w:color="auto" w:sz="8" w:space="0"/>
                    <w:left w:val="single" w:color="auto" w:sz="8" w:space="0"/>
                    <w:bottom w:val="nil"/>
                    <w:right w:val="single" w:color="auto" w:sz="8" w:space="0"/>
                  </w:tcBorders>
                  <w:shd w:val="clear" w:color="auto" w:fill="FFFFFF"/>
                </w:tcPr>
                <w:p w14:paraId="6AD7F64A">
                  <w:pPr>
                    <w:pStyle w:val="17"/>
                    <w:spacing w:before="120" w:beforeAutospacing="0" w:after="120" w:afterAutospacing="0" w:line="225" w:lineRule="atLeast"/>
                    <w:jc w:val="center"/>
                  </w:pPr>
                  <w:r>
                    <w:rPr>
                      <w:color w:val="000000"/>
                    </w:rPr>
                    <w:t>80.000</w:t>
                  </w:r>
                </w:p>
              </w:tc>
            </w:tr>
            <w:tr w14:paraId="124A1717">
              <w:tblPrEx>
                <w:shd w:val="clear" w:color="auto" w:fill="FFFFFF"/>
                <w:tblCellMar>
                  <w:top w:w="0" w:type="dxa"/>
                  <w:left w:w="0" w:type="dxa"/>
                  <w:bottom w:w="0" w:type="dxa"/>
                  <w:right w:w="0" w:type="dxa"/>
                </w:tblCellMar>
              </w:tblPrEx>
              <w:trPr>
                <w:tblCellSpacing w:w="0" w:type="dxa"/>
              </w:trPr>
              <w:tc>
                <w:tcPr>
                  <w:tcW w:w="400" w:type="pct"/>
                  <w:tcBorders>
                    <w:top w:val="single" w:color="auto" w:sz="8" w:space="0"/>
                    <w:left w:val="single" w:color="auto" w:sz="8" w:space="0"/>
                    <w:bottom w:val="nil"/>
                    <w:right w:val="nil"/>
                  </w:tcBorders>
                  <w:shd w:val="clear" w:color="auto" w:fill="FFFFFF"/>
                </w:tcPr>
                <w:p w14:paraId="414C4D16">
                  <w:pPr>
                    <w:pStyle w:val="17"/>
                    <w:spacing w:before="120" w:beforeAutospacing="0" w:after="120" w:afterAutospacing="0" w:line="225" w:lineRule="atLeast"/>
                    <w:jc w:val="center"/>
                  </w:pPr>
                  <w:r>
                    <w:rPr>
                      <w:color w:val="000000"/>
                    </w:rPr>
                    <w:t>2</w:t>
                  </w:r>
                </w:p>
              </w:tc>
              <w:tc>
                <w:tcPr>
                  <w:tcW w:w="2900" w:type="pct"/>
                  <w:tcBorders>
                    <w:top w:val="single" w:color="auto" w:sz="8" w:space="0"/>
                    <w:left w:val="single" w:color="auto" w:sz="8" w:space="0"/>
                    <w:bottom w:val="nil"/>
                    <w:right w:val="nil"/>
                  </w:tcBorders>
                  <w:shd w:val="clear" w:color="auto" w:fill="FFFFFF"/>
                </w:tcPr>
                <w:p w14:paraId="24E528BE">
                  <w:pPr>
                    <w:pStyle w:val="17"/>
                    <w:spacing w:before="120" w:beforeAutospacing="0" w:after="120" w:afterAutospacing="0" w:line="225" w:lineRule="atLeast"/>
                    <w:jc w:val="both"/>
                  </w:pPr>
                  <w:r>
                    <w:rPr>
                      <w:color w:val="000000"/>
                    </w:rPr>
                    <w:t>Đăng ký văn bản thông báo xử lý tài sản bảo đảm</w:t>
                  </w:r>
                </w:p>
              </w:tc>
              <w:tc>
                <w:tcPr>
                  <w:tcW w:w="1650" w:type="pct"/>
                  <w:tcBorders>
                    <w:top w:val="single" w:color="auto" w:sz="8" w:space="0"/>
                    <w:left w:val="single" w:color="auto" w:sz="8" w:space="0"/>
                    <w:bottom w:val="nil"/>
                    <w:right w:val="single" w:color="auto" w:sz="8" w:space="0"/>
                  </w:tcBorders>
                  <w:shd w:val="clear" w:color="auto" w:fill="FFFFFF"/>
                </w:tcPr>
                <w:p w14:paraId="7A616983">
                  <w:pPr>
                    <w:pStyle w:val="17"/>
                    <w:spacing w:before="120" w:beforeAutospacing="0" w:after="120" w:afterAutospacing="0" w:line="225" w:lineRule="atLeast"/>
                    <w:jc w:val="center"/>
                  </w:pPr>
                  <w:r>
                    <w:rPr>
                      <w:color w:val="000000"/>
                    </w:rPr>
                    <w:t>30.000</w:t>
                  </w:r>
                </w:p>
              </w:tc>
            </w:tr>
            <w:tr w14:paraId="56E69E9F">
              <w:tblPrEx>
                <w:shd w:val="clear" w:color="auto" w:fill="FFFFFF"/>
                <w:tblCellMar>
                  <w:top w:w="0" w:type="dxa"/>
                  <w:left w:w="0" w:type="dxa"/>
                  <w:bottom w:w="0" w:type="dxa"/>
                  <w:right w:w="0" w:type="dxa"/>
                </w:tblCellMar>
              </w:tblPrEx>
              <w:trPr>
                <w:tblCellSpacing w:w="0" w:type="dxa"/>
              </w:trPr>
              <w:tc>
                <w:tcPr>
                  <w:tcW w:w="400" w:type="pct"/>
                  <w:tcBorders>
                    <w:top w:val="single" w:color="auto" w:sz="8" w:space="0"/>
                    <w:left w:val="single" w:color="auto" w:sz="8" w:space="0"/>
                    <w:bottom w:val="nil"/>
                    <w:right w:val="nil"/>
                  </w:tcBorders>
                  <w:shd w:val="clear" w:color="auto" w:fill="FFFFFF"/>
                </w:tcPr>
                <w:p w14:paraId="59A92E12">
                  <w:pPr>
                    <w:pStyle w:val="17"/>
                    <w:spacing w:before="120" w:beforeAutospacing="0" w:after="120" w:afterAutospacing="0" w:line="225" w:lineRule="atLeast"/>
                    <w:jc w:val="center"/>
                  </w:pPr>
                  <w:r>
                    <w:rPr>
                      <w:color w:val="000000"/>
                    </w:rPr>
                    <w:t>3</w:t>
                  </w:r>
                </w:p>
              </w:tc>
              <w:tc>
                <w:tcPr>
                  <w:tcW w:w="2900" w:type="pct"/>
                  <w:tcBorders>
                    <w:top w:val="single" w:color="auto" w:sz="8" w:space="0"/>
                    <w:left w:val="single" w:color="auto" w:sz="8" w:space="0"/>
                    <w:bottom w:val="nil"/>
                    <w:right w:val="nil"/>
                  </w:tcBorders>
                  <w:shd w:val="clear" w:color="auto" w:fill="FFFFFF"/>
                </w:tcPr>
                <w:p w14:paraId="01D67BCD">
                  <w:pPr>
                    <w:pStyle w:val="17"/>
                    <w:spacing w:before="120" w:beforeAutospacing="0" w:after="120" w:afterAutospacing="0" w:line="225" w:lineRule="atLeast"/>
                    <w:jc w:val="both"/>
                  </w:pPr>
                  <w:r>
                    <w:rPr>
                      <w:color w:val="000000"/>
                    </w:rPr>
                    <w:t>Đăng ký thay đổi nội dung biện pháp bảo đảm đã đăng ký</w:t>
                  </w:r>
                </w:p>
              </w:tc>
              <w:tc>
                <w:tcPr>
                  <w:tcW w:w="1650" w:type="pct"/>
                  <w:tcBorders>
                    <w:top w:val="single" w:color="auto" w:sz="8" w:space="0"/>
                    <w:left w:val="single" w:color="auto" w:sz="8" w:space="0"/>
                    <w:bottom w:val="nil"/>
                    <w:right w:val="single" w:color="auto" w:sz="8" w:space="0"/>
                  </w:tcBorders>
                  <w:shd w:val="clear" w:color="auto" w:fill="FFFFFF"/>
                </w:tcPr>
                <w:p w14:paraId="794BB1AB">
                  <w:pPr>
                    <w:pStyle w:val="17"/>
                    <w:spacing w:before="120" w:beforeAutospacing="0" w:after="120" w:afterAutospacing="0" w:line="225" w:lineRule="atLeast"/>
                    <w:jc w:val="center"/>
                  </w:pPr>
                  <w:r>
                    <w:rPr>
                      <w:color w:val="000000"/>
                    </w:rPr>
                    <w:t>60.000</w:t>
                  </w:r>
                </w:p>
              </w:tc>
            </w:tr>
            <w:tr w14:paraId="40B01725">
              <w:tblPrEx>
                <w:shd w:val="clear" w:color="auto" w:fill="FFFFFF"/>
                <w:tblCellMar>
                  <w:top w:w="0" w:type="dxa"/>
                  <w:left w:w="0" w:type="dxa"/>
                  <w:bottom w:w="0" w:type="dxa"/>
                  <w:right w:w="0" w:type="dxa"/>
                </w:tblCellMar>
              </w:tblPrEx>
              <w:trPr>
                <w:tblCellSpacing w:w="0" w:type="dxa"/>
              </w:trPr>
              <w:tc>
                <w:tcPr>
                  <w:tcW w:w="400" w:type="pct"/>
                  <w:tcBorders>
                    <w:top w:val="single" w:color="auto" w:sz="8" w:space="0"/>
                    <w:left w:val="single" w:color="auto" w:sz="8" w:space="0"/>
                    <w:bottom w:val="nil"/>
                    <w:right w:val="nil"/>
                  </w:tcBorders>
                  <w:shd w:val="clear" w:color="auto" w:fill="FFFFFF"/>
                </w:tcPr>
                <w:p w14:paraId="7D72C1F1">
                  <w:pPr>
                    <w:pStyle w:val="17"/>
                    <w:spacing w:before="120" w:beforeAutospacing="0" w:after="120" w:afterAutospacing="0" w:line="225" w:lineRule="atLeast"/>
                    <w:jc w:val="center"/>
                  </w:pPr>
                  <w:r>
                    <w:rPr>
                      <w:color w:val="000000"/>
                    </w:rPr>
                    <w:t>4</w:t>
                  </w:r>
                </w:p>
              </w:tc>
              <w:tc>
                <w:tcPr>
                  <w:tcW w:w="2900" w:type="pct"/>
                  <w:tcBorders>
                    <w:top w:val="single" w:color="auto" w:sz="8" w:space="0"/>
                    <w:left w:val="single" w:color="auto" w:sz="8" w:space="0"/>
                    <w:bottom w:val="nil"/>
                    <w:right w:val="nil"/>
                  </w:tcBorders>
                  <w:shd w:val="clear" w:color="auto" w:fill="FFFFFF"/>
                </w:tcPr>
                <w:p w14:paraId="07F9B911">
                  <w:pPr>
                    <w:pStyle w:val="17"/>
                    <w:spacing w:before="120" w:beforeAutospacing="0" w:after="120" w:afterAutospacing="0" w:line="225" w:lineRule="atLeast"/>
                    <w:jc w:val="both"/>
                  </w:pPr>
                  <w:r>
                    <w:rPr>
                      <w:color w:val="000000"/>
                    </w:rPr>
                    <w:t>Xóa đăng ký biện pháp bảo đảm</w:t>
                  </w:r>
                </w:p>
              </w:tc>
              <w:tc>
                <w:tcPr>
                  <w:tcW w:w="1650" w:type="pct"/>
                  <w:tcBorders>
                    <w:top w:val="single" w:color="auto" w:sz="8" w:space="0"/>
                    <w:left w:val="single" w:color="auto" w:sz="8" w:space="0"/>
                    <w:bottom w:val="nil"/>
                    <w:right w:val="single" w:color="auto" w:sz="8" w:space="0"/>
                  </w:tcBorders>
                  <w:shd w:val="clear" w:color="auto" w:fill="FFFFFF"/>
                </w:tcPr>
                <w:p w14:paraId="309CA870">
                  <w:pPr>
                    <w:pStyle w:val="17"/>
                    <w:spacing w:before="120" w:beforeAutospacing="0" w:after="120" w:afterAutospacing="0" w:line="225" w:lineRule="atLeast"/>
                    <w:jc w:val="center"/>
                  </w:pPr>
                  <w:r>
                    <w:rPr>
                      <w:color w:val="000000"/>
                    </w:rPr>
                    <w:t>20.000</w:t>
                  </w:r>
                </w:p>
              </w:tc>
            </w:tr>
            <w:tr w14:paraId="066FFB76">
              <w:tblPrEx>
                <w:shd w:val="clear" w:color="auto" w:fill="FFFFFF"/>
                <w:tblCellMar>
                  <w:top w:w="0" w:type="dxa"/>
                  <w:left w:w="0" w:type="dxa"/>
                  <w:bottom w:w="0" w:type="dxa"/>
                  <w:right w:w="0" w:type="dxa"/>
                </w:tblCellMar>
              </w:tblPrEx>
              <w:trPr>
                <w:tblCellSpacing w:w="0" w:type="dxa"/>
              </w:trPr>
              <w:tc>
                <w:tcPr>
                  <w:tcW w:w="5000" w:type="pct"/>
                  <w:gridSpan w:val="3"/>
                  <w:tcBorders>
                    <w:top w:val="single" w:color="auto" w:sz="8" w:space="0"/>
                    <w:left w:val="single" w:color="auto" w:sz="8" w:space="0"/>
                    <w:bottom w:val="single" w:color="auto" w:sz="8" w:space="0"/>
                    <w:right w:val="single" w:color="auto" w:sz="8" w:space="0"/>
                  </w:tcBorders>
                  <w:shd w:val="clear" w:color="auto" w:fill="FFFFFF"/>
                </w:tcPr>
                <w:p w14:paraId="64A2B4FA">
                  <w:pPr>
                    <w:pStyle w:val="17"/>
                    <w:spacing w:before="120" w:beforeAutospacing="0" w:after="120" w:afterAutospacing="0" w:line="225" w:lineRule="atLeast"/>
                    <w:jc w:val="both"/>
                  </w:pPr>
                  <w:r>
                    <w:rPr>
                      <w:rFonts w:eastAsia="Calibri"/>
                    </w:rPr>
                    <w:t>Trường hợp hồ sơ có nhiều thửa đất cấp chung trong 01 Giấy chứng nhận, thì mỗi (01) thửa đất tăng thêm được tính 0,2 lần mức thu trên.</w:t>
                  </w:r>
                </w:p>
              </w:tc>
            </w:tr>
          </w:tbl>
          <w:p w14:paraId="794EF81F">
            <w:pPr>
              <w:spacing w:before="40" w:after="40"/>
              <w:ind w:left="140" w:right="98"/>
              <w:jc w:val="both"/>
              <w:rPr>
                <w:sz w:val="24"/>
                <w:szCs w:val="24"/>
              </w:rPr>
            </w:pPr>
          </w:p>
          <w:p w14:paraId="0AE971DB">
            <w:pPr>
              <w:spacing w:before="40" w:after="40"/>
              <w:ind w:left="140" w:right="98"/>
              <w:jc w:val="both"/>
              <w:rPr>
                <w:b/>
                <w:sz w:val="24"/>
                <w:szCs w:val="24"/>
              </w:rPr>
            </w:pPr>
          </w:p>
          <w:p w14:paraId="48874572">
            <w:pPr>
              <w:spacing w:before="40" w:after="40"/>
              <w:ind w:right="98"/>
              <w:jc w:val="both"/>
              <w:rPr>
                <w:sz w:val="24"/>
                <w:szCs w:val="24"/>
              </w:rPr>
            </w:pPr>
          </w:p>
          <w:p w14:paraId="7C59F1A2">
            <w:pPr>
              <w:spacing w:before="40" w:after="40"/>
              <w:ind w:right="98"/>
              <w:jc w:val="both"/>
              <w:rPr>
                <w:sz w:val="24"/>
                <w:szCs w:val="24"/>
              </w:rPr>
            </w:pPr>
          </w:p>
          <w:p w14:paraId="512D813D">
            <w:pPr>
              <w:spacing w:before="40" w:after="40"/>
              <w:ind w:right="98"/>
              <w:jc w:val="both"/>
              <w:rPr>
                <w:sz w:val="24"/>
                <w:szCs w:val="24"/>
              </w:rPr>
            </w:pPr>
          </w:p>
        </w:tc>
        <w:tc>
          <w:tcPr>
            <w:tcW w:w="1641" w:type="pct"/>
            <w:tcBorders>
              <w:top w:val="single" w:color="auto" w:sz="4" w:space="0"/>
              <w:left w:val="single" w:color="auto" w:sz="4" w:space="0"/>
              <w:bottom w:val="single" w:color="auto" w:sz="4" w:space="0"/>
              <w:right w:val="single" w:color="auto" w:sz="4" w:space="0"/>
            </w:tcBorders>
            <w:shd w:val="clear" w:color="auto" w:fill="FFFFFF"/>
            <w:vAlign w:val="center"/>
          </w:tcPr>
          <w:p w14:paraId="6A0D4533">
            <w:pPr>
              <w:spacing w:before="120" w:after="120"/>
              <w:jc w:val="both"/>
              <w:rPr>
                <w:sz w:val="24"/>
                <w:szCs w:val="24"/>
              </w:rPr>
            </w:pPr>
            <w:r>
              <w:rPr>
                <w:sz w:val="24"/>
                <w:szCs w:val="24"/>
              </w:rPr>
              <w:t xml:space="preserve">4. Mức thu phí: </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68"/>
              <w:gridCol w:w="3627"/>
              <w:gridCol w:w="1022"/>
            </w:tblGrid>
            <w:tr w14:paraId="05545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454"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3D3E5CA0">
                  <w:pPr>
                    <w:spacing w:before="60" w:after="60"/>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STT</w:t>
                  </w:r>
                </w:p>
              </w:tc>
              <w:tc>
                <w:tcPr>
                  <w:tcW w:w="3522"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0BF22F5E">
                  <w:pPr>
                    <w:spacing w:before="60" w:after="60"/>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Các trường hợp nộp phí</w:t>
                  </w:r>
                </w:p>
              </w:tc>
              <w:tc>
                <w:tcPr>
                  <w:tcW w:w="1023"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6BD9C69B">
                  <w:pPr>
                    <w:spacing w:before="60" w:after="60"/>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Mức thu (đồng/hồ sơ)</w:t>
                  </w:r>
                </w:p>
              </w:tc>
            </w:tr>
            <w:tr w14:paraId="6E7DA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454"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0B3419D7">
                  <w:pPr>
                    <w:pStyle w:val="28"/>
                    <w:numPr>
                      <w:ilvl w:val="0"/>
                      <w:numId w:val="3"/>
                    </w:numPr>
                    <w:spacing w:after="120" w:line="276" w:lineRule="auto"/>
                    <w:rPr>
                      <w:b/>
                      <w:bCs/>
                      <w:color w:val="000000" w:themeColor="text1"/>
                      <w:sz w:val="24"/>
                      <w:szCs w:val="24"/>
                      <w14:textFill>
                        <w14:solidFill>
                          <w14:schemeClr w14:val="tx1"/>
                        </w14:solidFill>
                      </w14:textFill>
                    </w:rPr>
                  </w:pPr>
                </w:p>
              </w:tc>
              <w:tc>
                <w:tcPr>
                  <w:tcW w:w="3522"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0C13EAE8">
                  <w:pPr>
                    <w:spacing w:before="60" w:after="60"/>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Phí đăng ký giao dịch bảo đảm</w:t>
                  </w:r>
                </w:p>
              </w:tc>
              <w:tc>
                <w:tcPr>
                  <w:tcW w:w="1023"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6A166D2C">
                  <w:pPr>
                    <w:spacing w:before="60" w:after="60"/>
                    <w:rPr>
                      <w:b/>
                      <w:color w:val="000000" w:themeColor="text1"/>
                      <w:sz w:val="24"/>
                      <w:szCs w:val="24"/>
                      <w14:textFill>
                        <w14:solidFill>
                          <w14:schemeClr w14:val="tx1"/>
                        </w14:solidFill>
                      </w14:textFill>
                    </w:rPr>
                  </w:pPr>
                </w:p>
              </w:tc>
            </w:tr>
            <w:tr w14:paraId="11DD2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454"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3E1A9856">
                  <w:pPr>
                    <w:spacing w:before="60" w:after="60"/>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a)</w:t>
                  </w:r>
                </w:p>
              </w:tc>
              <w:tc>
                <w:tcPr>
                  <w:tcW w:w="3522"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4DA7DBB7">
                  <w:pPr>
                    <w:spacing w:before="60" w:after="6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Đăng ký giao dịch bảo đảm</w:t>
                  </w:r>
                </w:p>
              </w:tc>
              <w:tc>
                <w:tcPr>
                  <w:tcW w:w="1023"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28A0011D">
                  <w:pPr>
                    <w:spacing w:before="60" w:after="60"/>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80.000</w:t>
                  </w:r>
                </w:p>
              </w:tc>
            </w:tr>
            <w:tr w14:paraId="60197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454"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1EA0489F">
                  <w:pPr>
                    <w:spacing w:before="60" w:after="60"/>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b)</w:t>
                  </w:r>
                </w:p>
              </w:tc>
              <w:tc>
                <w:tcPr>
                  <w:tcW w:w="3522"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73AB5477">
                  <w:pPr>
                    <w:spacing w:before="60" w:after="6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Đăng ký văn bản thông báo về việc xử lý tài sản bảo đảm</w:t>
                  </w:r>
                </w:p>
              </w:tc>
              <w:tc>
                <w:tcPr>
                  <w:tcW w:w="1023"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0B944435">
                  <w:pPr>
                    <w:spacing w:before="60" w:after="60"/>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30.000</w:t>
                  </w:r>
                </w:p>
              </w:tc>
            </w:tr>
            <w:tr w14:paraId="31D20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454"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0D4446DB">
                  <w:pPr>
                    <w:spacing w:before="60" w:after="60"/>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c)</w:t>
                  </w:r>
                </w:p>
              </w:tc>
              <w:tc>
                <w:tcPr>
                  <w:tcW w:w="3522"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74188967">
                  <w:pPr>
                    <w:spacing w:before="60" w:after="6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Đăng ký thay đổi nội dung giao dịch bảo đảm đã đăng ký</w:t>
                  </w:r>
                </w:p>
              </w:tc>
              <w:tc>
                <w:tcPr>
                  <w:tcW w:w="1023"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29924E0D">
                  <w:pPr>
                    <w:spacing w:before="60" w:after="60"/>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60.000</w:t>
                  </w:r>
                </w:p>
              </w:tc>
            </w:tr>
            <w:tr w14:paraId="19FD8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454"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60C2E6C3">
                  <w:pPr>
                    <w:spacing w:before="60" w:after="60"/>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d)</w:t>
                  </w:r>
                </w:p>
              </w:tc>
              <w:tc>
                <w:tcPr>
                  <w:tcW w:w="3522"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3987048E">
                  <w:pPr>
                    <w:spacing w:before="60" w:after="6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Xoá đăng ký giao dịch bảo đảm</w:t>
                  </w:r>
                </w:p>
              </w:tc>
              <w:tc>
                <w:tcPr>
                  <w:tcW w:w="1023"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726F1AF2">
                  <w:pPr>
                    <w:spacing w:before="60" w:after="60"/>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20.000</w:t>
                  </w:r>
                </w:p>
              </w:tc>
            </w:tr>
            <w:tr w14:paraId="420BB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454"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1AE55516">
                  <w:pPr>
                    <w:spacing w:before="60" w:after="60"/>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2.</w:t>
                  </w:r>
                </w:p>
              </w:tc>
              <w:tc>
                <w:tcPr>
                  <w:tcW w:w="3522"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16F7AFD4">
                  <w:pPr>
                    <w:spacing w:before="60" w:after="60"/>
                    <w:jc w:val="both"/>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Phí cung cấp thông tin về giao dịch bảo đảm bằng quyền sử dụng đất, tài sản gắn liền với đất</w:t>
                  </w:r>
                </w:p>
              </w:tc>
              <w:tc>
                <w:tcPr>
                  <w:tcW w:w="1023" w:type="pct"/>
                  <w:tcBorders>
                    <w:top w:val="single" w:color="auto" w:sz="4" w:space="0"/>
                    <w:left w:val="single" w:color="auto" w:sz="4" w:space="0"/>
                    <w:bottom w:val="single" w:color="auto" w:sz="4" w:space="0"/>
                    <w:right w:val="single" w:color="auto" w:sz="4" w:space="0"/>
                  </w:tcBorders>
                  <w:shd w:val="clear" w:color="auto" w:fill="auto"/>
                  <w:tcMar>
                    <w:top w:w="0" w:type="dxa"/>
                    <w:left w:w="57" w:type="dxa"/>
                    <w:bottom w:w="0" w:type="dxa"/>
                    <w:right w:w="57" w:type="dxa"/>
                  </w:tcMar>
                  <w:vAlign w:val="center"/>
                </w:tcPr>
                <w:p w14:paraId="28AB0ADD">
                  <w:pPr>
                    <w:spacing w:before="60" w:after="60"/>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20.000</w:t>
                  </w:r>
                </w:p>
              </w:tc>
            </w:tr>
          </w:tbl>
          <w:p w14:paraId="5A9BE69F">
            <w:pPr>
              <w:spacing w:before="120" w:after="120"/>
              <w:jc w:val="both"/>
              <w:rPr>
                <w:sz w:val="24"/>
                <w:szCs w:val="24"/>
              </w:rPr>
            </w:pPr>
          </w:p>
          <w:p w14:paraId="3327900F">
            <w:pPr>
              <w:spacing w:before="120" w:after="120"/>
              <w:jc w:val="both"/>
              <w:rPr>
                <w:sz w:val="24"/>
                <w:szCs w:val="24"/>
              </w:rPr>
            </w:pPr>
          </w:p>
          <w:p w14:paraId="56365222">
            <w:pPr>
              <w:spacing w:before="40" w:after="40"/>
              <w:ind w:left="139" w:right="138"/>
              <w:jc w:val="both"/>
              <w:rPr>
                <w:sz w:val="24"/>
                <w:szCs w:val="24"/>
                <w:lang w:val="vi-VN"/>
              </w:rPr>
            </w:pPr>
          </w:p>
        </w:tc>
        <w:tc>
          <w:tcPr>
            <w:tcW w:w="1551" w:type="pct"/>
            <w:tcBorders>
              <w:top w:val="single" w:color="auto" w:sz="4" w:space="0"/>
              <w:left w:val="single" w:color="auto" w:sz="4" w:space="0"/>
              <w:bottom w:val="single" w:color="auto" w:sz="4" w:space="0"/>
              <w:right w:val="single" w:color="auto" w:sz="4" w:space="0"/>
            </w:tcBorders>
            <w:shd w:val="clear" w:color="auto" w:fill="FFFFFF"/>
            <w:vAlign w:val="center"/>
          </w:tcPr>
          <w:p w14:paraId="64BBA1E3">
            <w:pPr>
              <w:spacing w:before="40" w:after="40"/>
              <w:ind w:left="140" w:right="98"/>
              <w:jc w:val="both"/>
              <w:rPr>
                <w:sz w:val="24"/>
                <w:szCs w:val="24"/>
              </w:rPr>
            </w:pPr>
            <w:r>
              <w:rPr>
                <w:sz w:val="24"/>
                <w:szCs w:val="24"/>
              </w:rPr>
              <w:t>- Phân loại các mức thu theo quy định về các trường hợp đăng ký tại Điều 4, Nghị định số 99/2022/NĐ-CP ngày 30 tháng 11 năm 2022 của Chính phủ quy định về đăng ký biện pháp bảo đảm.</w:t>
            </w:r>
          </w:p>
          <w:p w14:paraId="595C15DA">
            <w:pPr>
              <w:spacing w:before="40" w:after="40"/>
              <w:ind w:left="140" w:right="98"/>
              <w:jc w:val="both"/>
              <w:rPr>
                <w:sz w:val="24"/>
                <w:szCs w:val="24"/>
              </w:rPr>
            </w:pPr>
            <w:r>
              <w:rPr>
                <w:sz w:val="24"/>
                <w:szCs w:val="24"/>
              </w:rPr>
              <w:t>- Mức thu mới được xác định trên cơ sở kế thừa mức thu của tỉnh Ninh Thuận (trước sáp nhập) và tham khảo mặt bằng chung, mức thu đề xuất cơ bản tương đồng với mức thu của tỉnh Quảng Ngãi (sau sáp nhập) tại NQ 18/2026/NQ-HĐND của HĐND tỉnh Quảng Ngãi, qua đó góp phần bảo đảm tính thống nhất, đồng bộ và tính khả thi khi triển khai thực hiện trên địa bàn tỉnh.</w:t>
            </w:r>
          </w:p>
          <w:p w14:paraId="73C8FA7A">
            <w:pPr>
              <w:spacing w:before="40" w:after="40"/>
              <w:ind w:left="140" w:right="98"/>
              <w:jc w:val="both"/>
              <w:rPr>
                <w:sz w:val="24"/>
                <w:szCs w:val="24"/>
              </w:rPr>
            </w:pPr>
            <w:r>
              <w:rPr>
                <w:sz w:val="24"/>
                <w:szCs w:val="24"/>
              </w:rPr>
              <w:t xml:space="preserve">- Mức thu mới đảm bảo phù hợp với khả năng chi trả của tổ chức, cá nhân; </w:t>
            </w:r>
            <w:r>
              <w:rPr>
                <w:sz w:val="24"/>
                <w:szCs w:val="24"/>
                <w:lang w:eastAsia="zh-CN"/>
              </w:rPr>
              <w:t>không gây biến động lớn về kinh tế đối với các xã, phường khu vực Bắc Khánh Hòa,</w:t>
            </w:r>
          </w:p>
          <w:p w14:paraId="2ED83046">
            <w:pPr>
              <w:spacing w:before="40" w:after="40"/>
              <w:ind w:left="140" w:right="98"/>
              <w:jc w:val="both"/>
              <w:rPr>
                <w:sz w:val="24"/>
                <w:szCs w:val="24"/>
              </w:rPr>
            </w:pPr>
            <w:r>
              <w:rPr>
                <w:sz w:val="24"/>
                <w:szCs w:val="24"/>
                <w:lang w:eastAsia="zh-CN"/>
              </w:rPr>
              <w:t>- Sử dụng nguồn nhân lực hiện có, đảm bảo không làm phát sinh thêm các thủ tục hành chính, tổ chức bộ máy, biên chế để phù hợp với chủ trương tinh gọn và tối ưu vị trí việc làm hiện nay.</w:t>
            </w:r>
          </w:p>
        </w:tc>
      </w:tr>
      <w:tr w14:paraId="42627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07" w:type="pct"/>
            <w:tcBorders>
              <w:top w:val="single" w:color="auto" w:sz="4" w:space="0"/>
              <w:left w:val="single" w:color="auto" w:sz="4" w:space="0"/>
              <w:bottom w:val="single" w:color="auto" w:sz="4" w:space="0"/>
              <w:right w:val="single" w:color="auto" w:sz="4" w:space="0"/>
            </w:tcBorders>
            <w:shd w:val="clear" w:color="auto" w:fill="FFFFFF"/>
            <w:vAlign w:val="center"/>
          </w:tcPr>
          <w:p w14:paraId="506A4227">
            <w:pPr>
              <w:numPr>
                <w:ilvl w:val="0"/>
                <w:numId w:val="2"/>
              </w:numPr>
              <w:spacing w:before="40" w:after="40"/>
              <w:ind w:left="140" w:right="98"/>
              <w:jc w:val="both"/>
              <w:rPr>
                <w:b/>
                <w:bCs/>
                <w:sz w:val="24"/>
                <w:szCs w:val="24"/>
                <w:lang w:val="vi-VN"/>
              </w:rPr>
            </w:pPr>
            <w:r>
              <w:rPr>
                <w:b/>
                <w:bCs/>
                <w:sz w:val="24"/>
                <w:szCs w:val="24"/>
                <w:lang w:val="vi-VN"/>
              </w:rPr>
              <w:t>Đối tượng miễn nộp phí:</w:t>
            </w:r>
          </w:p>
          <w:p w14:paraId="0B4327F1">
            <w:pPr>
              <w:spacing w:before="40" w:after="40"/>
              <w:ind w:left="140" w:right="98"/>
              <w:jc w:val="both"/>
              <w:rPr>
                <w:b/>
                <w:bCs/>
                <w:sz w:val="24"/>
                <w:szCs w:val="24"/>
                <w:lang w:val="vi-VN"/>
              </w:rPr>
            </w:pPr>
          </w:p>
          <w:p w14:paraId="3289D9A2">
            <w:pPr>
              <w:spacing w:before="40" w:after="40"/>
              <w:ind w:left="140" w:right="98"/>
              <w:jc w:val="both"/>
              <w:rPr>
                <w:b/>
                <w:sz w:val="24"/>
                <w:szCs w:val="24"/>
              </w:rPr>
            </w:pPr>
            <w:r>
              <w:rPr>
                <w:b/>
                <w:sz w:val="24"/>
                <w:szCs w:val="24"/>
              </w:rPr>
              <w:t xml:space="preserve">- Theo Nghị quyết số 13/2021/NQ-HĐND ngày 19/10/2021 của HĐND tỉnh Khánh Hòa: </w:t>
            </w:r>
          </w:p>
          <w:p w14:paraId="24451ABD">
            <w:pPr>
              <w:spacing w:before="40" w:after="40"/>
              <w:ind w:left="140" w:right="98"/>
              <w:jc w:val="both"/>
              <w:rPr>
                <w:sz w:val="24"/>
                <w:szCs w:val="24"/>
                <w:lang w:eastAsia="zh-CN"/>
              </w:rPr>
            </w:pPr>
            <w:r>
              <w:rPr>
                <w:sz w:val="24"/>
                <w:szCs w:val="24"/>
                <w:lang w:eastAsia="zh-CN"/>
              </w:rPr>
              <w:t>3. Đối tượng được miễn phí</w:t>
            </w:r>
          </w:p>
          <w:p w14:paraId="37E76EEA">
            <w:pPr>
              <w:spacing w:before="40" w:after="40"/>
              <w:ind w:left="140" w:right="98"/>
              <w:jc w:val="both"/>
              <w:rPr>
                <w:sz w:val="24"/>
                <w:szCs w:val="24"/>
                <w:lang w:eastAsia="zh-CN"/>
              </w:rPr>
            </w:pPr>
            <w:r>
              <w:rPr>
                <w:sz w:val="24"/>
                <w:szCs w:val="24"/>
                <w:lang w:eastAsia="zh-CN"/>
              </w:rPr>
              <w:t>a) Đối với phí đăng ký giao dịch bảo đảm</w:t>
            </w:r>
          </w:p>
          <w:p w14:paraId="0CD865B1">
            <w:pPr>
              <w:spacing w:before="40" w:after="40"/>
              <w:ind w:left="140" w:right="98"/>
              <w:jc w:val="both"/>
              <w:rPr>
                <w:sz w:val="24"/>
                <w:szCs w:val="24"/>
                <w:lang w:eastAsia="zh-CN"/>
              </w:rPr>
            </w:pPr>
            <w:r>
              <w:rPr>
                <w:sz w:val="24"/>
                <w:szCs w:val="24"/>
                <w:lang w:eastAsia="zh-CN"/>
              </w:rPr>
              <w:t>- Các cá nhân, hộ gia đình khi đăng ký giao dịch bảo đảm để vay vốn tại tổ chức tín dụng thuộc một trong các lĩnh vực cho vay phục vụ phát triển nông nghiệp, nông thôn quy định tại Điều 4, Điều 9 Nghị định số </w:t>
            </w:r>
            <w:r>
              <w:fldChar w:fldCharType="begin"/>
            </w:r>
            <w:r>
              <w:instrText xml:space="preserve"> HYPERLINK "https://thuvienphapluat.vn/van-ban/tien-te-ngan-hang/nghi-dinh-55-2015-nd-cp-chinh-sach-tin-dung-phuc-vu-phat-trien-nong-nghiep-nong-thon-277254.aspx" \t "https://thuvienphapluat.vn/van-ban/Thue-Phi-Le-Phi/_blank" \o "Nghị định 55/2015/NĐ-CP" </w:instrText>
            </w:r>
            <w:r>
              <w:fldChar w:fldCharType="separate"/>
            </w:r>
            <w:r>
              <w:rPr>
                <w:sz w:val="24"/>
                <w:szCs w:val="24"/>
                <w:lang w:eastAsia="zh-CN"/>
              </w:rPr>
              <w:t>55/2015/NĐ-CP</w:t>
            </w:r>
            <w:r>
              <w:rPr>
                <w:sz w:val="24"/>
                <w:szCs w:val="24"/>
                <w:lang w:eastAsia="zh-CN"/>
              </w:rPr>
              <w:fldChar w:fldCharType="end"/>
            </w:r>
            <w:r>
              <w:rPr>
                <w:sz w:val="24"/>
                <w:szCs w:val="24"/>
                <w:lang w:eastAsia="zh-CN"/>
              </w:rPr>
              <w:t> , ngày 09 tháng 6 năm 2015 và Điều 1 Nghị định số </w:t>
            </w:r>
            <w:r>
              <w:fldChar w:fldCharType="begin"/>
            </w:r>
            <w:r>
              <w:instrText xml:space="preserve"> HYPERLINK "https://thuvienphapluat.vn/van-ban/tien-te-ngan-hang/nghi-dinh-116-2018-nd-cp-sua-doi-nghi-dinh-55-2015-nd-cp-chinh-sach-tin-dung-phat-trien-nong-thon-349634.aspx" \t "https://thuvienphapluat.vn/van-ban/Thue-Phi-Le-Phi/_blank" \o "Nghị định 116/2018/NĐ-CP" </w:instrText>
            </w:r>
            <w:r>
              <w:fldChar w:fldCharType="separate"/>
            </w:r>
            <w:r>
              <w:rPr>
                <w:sz w:val="24"/>
                <w:szCs w:val="24"/>
                <w:lang w:eastAsia="zh-CN"/>
              </w:rPr>
              <w:t>116/2018/NĐ-CP</w:t>
            </w:r>
            <w:r>
              <w:rPr>
                <w:sz w:val="24"/>
                <w:szCs w:val="24"/>
                <w:lang w:eastAsia="zh-CN"/>
              </w:rPr>
              <w:fldChar w:fldCharType="end"/>
            </w:r>
            <w:r>
              <w:rPr>
                <w:sz w:val="24"/>
                <w:szCs w:val="24"/>
                <w:lang w:eastAsia="zh-CN"/>
              </w:rPr>
              <w:t> , ngày 07 tháng 9 năm 2018 của Chính phủ về chính sách tín dụng phục vụ phát triển nông nghiệp, nông thôn.</w:t>
            </w:r>
          </w:p>
          <w:p w14:paraId="087D7F48">
            <w:pPr>
              <w:spacing w:before="40" w:after="40"/>
              <w:ind w:left="140" w:right="98"/>
              <w:jc w:val="both"/>
              <w:rPr>
                <w:sz w:val="24"/>
                <w:szCs w:val="24"/>
                <w:lang w:eastAsia="zh-CN"/>
              </w:rPr>
            </w:pPr>
            <w:r>
              <w:rPr>
                <w:sz w:val="24"/>
                <w:szCs w:val="24"/>
                <w:lang w:eastAsia="zh-CN"/>
              </w:rPr>
              <w:t>- Yêu cầu sửa chữa sai sót về nội dung đăng ký giao dịch bảo đảm do lỗi của đăng ký viên.</w:t>
            </w:r>
          </w:p>
          <w:p w14:paraId="79A3EE4E">
            <w:pPr>
              <w:spacing w:before="40" w:after="40"/>
              <w:ind w:left="140" w:right="98"/>
              <w:jc w:val="both"/>
              <w:rPr>
                <w:sz w:val="24"/>
                <w:szCs w:val="24"/>
                <w:lang w:eastAsia="zh-CN"/>
              </w:rPr>
            </w:pPr>
            <w:r>
              <w:rPr>
                <w:sz w:val="24"/>
                <w:szCs w:val="24"/>
                <w:lang w:eastAsia="zh-CN"/>
              </w:rPr>
              <w:t>- Thông báo việc kê biên tài sản thi hành án, yêu cầu thay đổi nội dung đã thông báo việc kê biên tài sản thi hành án, xóa thông báo việc kê biên.</w:t>
            </w:r>
          </w:p>
          <w:p w14:paraId="178404C3">
            <w:pPr>
              <w:spacing w:before="40" w:after="40"/>
              <w:ind w:left="140" w:right="98"/>
              <w:jc w:val="both"/>
              <w:rPr>
                <w:sz w:val="24"/>
                <w:szCs w:val="24"/>
                <w:lang w:eastAsia="zh-CN"/>
              </w:rPr>
            </w:pPr>
            <w:r>
              <w:rPr>
                <w:sz w:val="24"/>
                <w:szCs w:val="24"/>
                <w:lang w:eastAsia="zh-CN"/>
              </w:rPr>
              <w:t>b) Đối với phí cung cấp thông tin về giao dịch bảo đảm</w:t>
            </w:r>
          </w:p>
          <w:p w14:paraId="03AA9F60">
            <w:pPr>
              <w:spacing w:before="40" w:after="40"/>
              <w:ind w:left="140" w:right="98"/>
              <w:jc w:val="both"/>
              <w:rPr>
                <w:sz w:val="24"/>
                <w:szCs w:val="24"/>
                <w:lang w:eastAsia="zh-CN"/>
              </w:rPr>
            </w:pPr>
            <w:r>
              <w:rPr>
                <w:sz w:val="24"/>
                <w:szCs w:val="24"/>
                <w:lang w:eastAsia="zh-CN"/>
              </w:rPr>
              <w:t>- Điều tra viên, kiểm sát viên và thẩm phán yêu cầu cung cấp thông tin phục vụ cho hoạt động tố tụng.</w:t>
            </w:r>
          </w:p>
          <w:p w14:paraId="4690FCC5">
            <w:pPr>
              <w:spacing w:before="40" w:after="40"/>
              <w:ind w:left="140" w:right="98"/>
              <w:jc w:val="both"/>
              <w:rPr>
                <w:sz w:val="24"/>
                <w:szCs w:val="24"/>
                <w:lang w:eastAsia="zh-CN"/>
              </w:rPr>
            </w:pPr>
            <w:r>
              <w:rPr>
                <w:sz w:val="24"/>
                <w:szCs w:val="24"/>
                <w:lang w:eastAsia="zh-CN"/>
              </w:rPr>
              <w:t>- Chấp hành viên yêu cầu cung cấp thông tin về tài sản kê biên.</w:t>
            </w:r>
          </w:p>
          <w:p w14:paraId="52541A70">
            <w:pPr>
              <w:spacing w:before="40" w:after="40"/>
              <w:ind w:left="140" w:right="98"/>
              <w:jc w:val="both"/>
              <w:rPr>
                <w:sz w:val="24"/>
                <w:szCs w:val="24"/>
              </w:rPr>
            </w:pPr>
          </w:p>
          <w:p w14:paraId="59F0B631">
            <w:pPr>
              <w:spacing w:before="40" w:after="40"/>
              <w:ind w:left="140" w:right="98"/>
              <w:jc w:val="both"/>
              <w:rPr>
                <w:b/>
                <w:sz w:val="24"/>
                <w:szCs w:val="24"/>
              </w:rPr>
            </w:pPr>
            <w:r>
              <w:rPr>
                <w:b/>
                <w:sz w:val="24"/>
                <w:szCs w:val="24"/>
              </w:rPr>
              <w:t>- Theo Nghị quyết số 16/2020/NQ-HĐND ngày 10/12/2020 của HĐND tỉnh Ninh Thuận:</w:t>
            </w:r>
          </w:p>
          <w:p w14:paraId="5CFF65C7">
            <w:pPr>
              <w:spacing w:before="40" w:after="40"/>
              <w:ind w:left="140" w:right="98"/>
              <w:jc w:val="both"/>
              <w:rPr>
                <w:sz w:val="24"/>
                <w:szCs w:val="24"/>
                <w:lang w:eastAsia="zh-CN"/>
              </w:rPr>
            </w:pPr>
            <w:r>
              <w:rPr>
                <w:sz w:val="24"/>
                <w:szCs w:val="24"/>
                <w:lang w:eastAsia="zh-CN"/>
              </w:rPr>
              <w:t>2. Đối tượng áp dụng:</w:t>
            </w:r>
          </w:p>
          <w:p w14:paraId="29D4472F">
            <w:pPr>
              <w:spacing w:before="40" w:after="40"/>
              <w:ind w:left="140" w:right="98"/>
              <w:jc w:val="both"/>
              <w:rPr>
                <w:sz w:val="24"/>
                <w:szCs w:val="24"/>
                <w:lang w:eastAsia="zh-CN"/>
              </w:rPr>
            </w:pPr>
            <w:r>
              <w:rPr>
                <w:sz w:val="24"/>
                <w:szCs w:val="24"/>
                <w:lang w:eastAsia="zh-CN"/>
              </w:rPr>
              <w:t>c) Đối tượng được miễn thu phí:</w:t>
            </w:r>
          </w:p>
          <w:p w14:paraId="1486E20B">
            <w:pPr>
              <w:spacing w:before="40" w:after="40"/>
              <w:ind w:left="140" w:right="98"/>
              <w:jc w:val="both"/>
              <w:rPr>
                <w:sz w:val="24"/>
                <w:szCs w:val="24"/>
                <w:lang w:eastAsia="zh-CN"/>
              </w:rPr>
            </w:pPr>
            <w:r>
              <w:rPr>
                <w:sz w:val="24"/>
                <w:szCs w:val="24"/>
                <w:lang w:eastAsia="zh-CN"/>
              </w:rPr>
              <w:t>- Cá nhân, hộ gia đình vay vốn tại tổ chức tín dụng thuộc một trong các lĩnh vực cho vay phục vụ phát triển nông nghiệp, nông thôn quy định tại Điều 4 Nghị định số </w:t>
            </w:r>
            <w:r>
              <w:fldChar w:fldCharType="begin"/>
            </w:r>
            <w:r>
              <w:instrText xml:space="preserve"> HYPERLINK "https://thuvienphapluat.vn/van-ban/tien-te-ngan-hang/nghi-dinh-55-2015-nd-cp-chinh-sach-tin-dung-phuc-vu-phat-trien-nong-nghiep-nong-thon-277254.aspx" \t "https://thuvienphapluat.vn/van-ban/Thue-Phi-Le-Phi/_blank" \o "Nghị định 55/2015/NĐ-CP" </w:instrText>
            </w:r>
            <w:r>
              <w:fldChar w:fldCharType="separate"/>
            </w:r>
            <w:r>
              <w:rPr>
                <w:sz w:val="24"/>
                <w:szCs w:val="24"/>
                <w:lang w:eastAsia="zh-CN"/>
              </w:rPr>
              <w:t>55/2015/NĐ-CP</w:t>
            </w:r>
            <w:r>
              <w:rPr>
                <w:sz w:val="24"/>
                <w:szCs w:val="24"/>
                <w:lang w:eastAsia="zh-CN"/>
              </w:rPr>
              <w:fldChar w:fldCharType="end"/>
            </w:r>
            <w:r>
              <w:rPr>
                <w:sz w:val="24"/>
                <w:szCs w:val="24"/>
                <w:lang w:eastAsia="zh-CN"/>
              </w:rPr>
              <w:t> ngày 09 tháng 6 năm 2015 của Chính phủ về chính sách tín dụng phục vụ phát triển nông nghiệp, nông thôn.</w:t>
            </w:r>
          </w:p>
          <w:p w14:paraId="709EEC69">
            <w:pPr>
              <w:spacing w:before="40" w:after="40"/>
              <w:ind w:left="140" w:right="98"/>
              <w:jc w:val="both"/>
              <w:rPr>
                <w:sz w:val="24"/>
                <w:szCs w:val="24"/>
                <w:lang w:eastAsia="zh-CN"/>
              </w:rPr>
            </w:pPr>
            <w:r>
              <w:rPr>
                <w:sz w:val="24"/>
                <w:szCs w:val="24"/>
                <w:lang w:eastAsia="zh-CN"/>
              </w:rPr>
              <w:t>- Cá nhân, hộ gia đình là đối tượng không phải nộp phí khi thực hiện đăng ký biện pháp bảo đảm theo quy định của pháp luật về chính sách tín dụng phục vụ phát triển nông nghiệp, nông thôn, khi thực hiện đăng ký thay đổi nội dung biện pháp bảo đảm đã đăng ký, đăng ký văn bản thông báo xử lý tài sản bảo đảm, xóa đăng ký biện pháp bảo đảm được miễn nộp phí.</w:t>
            </w:r>
          </w:p>
          <w:p w14:paraId="3D843365">
            <w:pPr>
              <w:spacing w:before="40" w:after="40"/>
              <w:ind w:left="140" w:right="98"/>
              <w:jc w:val="both"/>
              <w:rPr>
                <w:sz w:val="24"/>
                <w:szCs w:val="24"/>
                <w:lang w:eastAsia="zh-CN"/>
              </w:rPr>
            </w:pPr>
            <w:r>
              <w:rPr>
                <w:sz w:val="24"/>
                <w:szCs w:val="24"/>
                <w:lang w:eastAsia="zh-CN"/>
              </w:rPr>
              <w:t>- Yêu cầu sửa chữa sai sót về nội dung đăng ký biện pháp bảo đảm đã đăng ký do lỗi của người thực hiện đăng ký.</w:t>
            </w:r>
          </w:p>
          <w:p w14:paraId="7B3CD0AF">
            <w:pPr>
              <w:spacing w:before="40" w:after="40"/>
              <w:ind w:left="140" w:right="98"/>
              <w:jc w:val="both"/>
              <w:rPr>
                <w:sz w:val="24"/>
                <w:szCs w:val="24"/>
                <w:lang w:eastAsia="zh-CN"/>
              </w:rPr>
            </w:pPr>
            <w:r>
              <w:rPr>
                <w:sz w:val="24"/>
                <w:szCs w:val="24"/>
                <w:lang w:eastAsia="zh-CN"/>
              </w:rPr>
              <w:t>- Thông báo việc kê biên tài sản thi hành án, yêu cầu thay đổi nội dung đã thông báo việc kê biên tài sản thi hành án, xóa thông báo việc kê biên của Chấp hành viên theo quy định của pháp luật thi hành án.</w:t>
            </w:r>
          </w:p>
          <w:p w14:paraId="632965BF">
            <w:pPr>
              <w:spacing w:before="40" w:after="40"/>
              <w:ind w:left="140" w:right="98"/>
              <w:jc w:val="both"/>
              <w:rPr>
                <w:sz w:val="24"/>
                <w:szCs w:val="24"/>
              </w:rPr>
            </w:pPr>
            <w:r>
              <w:rPr>
                <w:sz w:val="24"/>
                <w:szCs w:val="24"/>
                <w:lang w:eastAsia="zh-CN"/>
              </w:rPr>
              <w:t>d) Đối tượng được giảm thu phí: Giảm 50% mức thu phí theo quy định đối với các đối tượng là: hộ nghèo, người có công với cách mạng, đồng bào dân tộc thiểu số ở các xã, thôn có điều kiện kinh tế - xã hội đặc biệt khó khăn.</w:t>
            </w:r>
          </w:p>
        </w:tc>
        <w:tc>
          <w:tcPr>
            <w:tcW w:w="1641" w:type="pct"/>
            <w:tcBorders>
              <w:top w:val="single" w:color="auto" w:sz="4" w:space="0"/>
              <w:left w:val="single" w:color="auto" w:sz="4" w:space="0"/>
              <w:bottom w:val="single" w:color="auto" w:sz="4" w:space="0"/>
              <w:right w:val="single" w:color="auto" w:sz="4" w:space="0"/>
            </w:tcBorders>
            <w:shd w:val="clear" w:color="auto" w:fill="FFFFFF"/>
            <w:vAlign w:val="center"/>
          </w:tcPr>
          <w:p w14:paraId="2387CC16">
            <w:pPr>
              <w:spacing w:before="40" w:after="40"/>
              <w:ind w:left="140" w:right="98"/>
              <w:jc w:val="both"/>
              <w:rPr>
                <w:sz w:val="24"/>
                <w:szCs w:val="24"/>
                <w:lang w:val="vi-VN"/>
              </w:rPr>
            </w:pPr>
            <w:r>
              <w:rPr>
                <w:sz w:val="24"/>
                <w:szCs w:val="24"/>
                <w:lang w:val="vi-VN"/>
              </w:rPr>
              <w:t>5. Đối tượng miễn nộp phí:</w:t>
            </w:r>
          </w:p>
          <w:p w14:paraId="07D0C711">
            <w:pPr>
              <w:spacing w:before="40" w:after="40"/>
              <w:ind w:left="140" w:right="98"/>
              <w:jc w:val="both"/>
              <w:rPr>
                <w:sz w:val="24"/>
                <w:szCs w:val="24"/>
                <w:lang w:eastAsia="zh-CN"/>
              </w:rPr>
            </w:pPr>
            <w:r>
              <w:rPr>
                <w:sz w:val="24"/>
                <w:szCs w:val="24"/>
              </w:rPr>
              <w:t>a) T</w:t>
            </w:r>
            <w:r>
              <w:rPr>
                <w:sz w:val="24"/>
                <w:szCs w:val="24"/>
                <w:lang w:eastAsia="zh-CN"/>
              </w:rPr>
              <w:t>ổ chức, cá nhân có yêu cầu giải quyết thủ tục hành chính thông qua Dịch vụ công trực tuyến trên địa bàn tỉnh Khánh Hòa được miễn 100% mức thu phí.</w:t>
            </w:r>
          </w:p>
          <w:p w14:paraId="17AA65D2">
            <w:pPr>
              <w:spacing w:before="40" w:after="40"/>
              <w:ind w:left="140" w:right="98"/>
              <w:jc w:val="both"/>
              <w:rPr>
                <w:sz w:val="24"/>
                <w:szCs w:val="24"/>
                <w:lang w:eastAsia="zh-CN"/>
              </w:rPr>
            </w:pPr>
            <w:r>
              <w:rPr>
                <w:sz w:val="24"/>
                <w:szCs w:val="24"/>
                <w:lang w:eastAsia="zh-CN"/>
              </w:rPr>
              <w:t>b) Đối tượng miễn phí theo Điều 10 Luật Phí và lệ phí năm 2015 và Điều 6 Thông tư số 85/2019/TT-BTC ngày 29/11/2019 của Bộ Tài chính, bao gồm:</w:t>
            </w:r>
          </w:p>
          <w:p w14:paraId="46648B2F">
            <w:pPr>
              <w:spacing w:before="40" w:after="40"/>
              <w:ind w:left="140" w:right="98"/>
              <w:jc w:val="both"/>
              <w:rPr>
                <w:sz w:val="24"/>
                <w:szCs w:val="24"/>
                <w:lang w:eastAsia="zh-CN"/>
              </w:rPr>
            </w:pPr>
            <w:r>
              <w:rPr>
                <w:sz w:val="24"/>
                <w:szCs w:val="24"/>
              </w:rPr>
              <w:t>- N</w:t>
            </w:r>
            <w:r>
              <w:rPr>
                <w:sz w:val="24"/>
                <w:szCs w:val="24"/>
                <w:lang w:eastAsia="zh-CN"/>
              </w:rPr>
              <w:t>gười có công với cách mạng theo quy định của pháp luật.</w:t>
            </w:r>
          </w:p>
          <w:p w14:paraId="7E30F7AA">
            <w:pPr>
              <w:spacing w:before="40" w:after="40"/>
              <w:ind w:left="140" w:right="98"/>
              <w:jc w:val="both"/>
              <w:rPr>
                <w:sz w:val="24"/>
                <w:szCs w:val="24"/>
                <w:lang w:eastAsia="zh-CN"/>
              </w:rPr>
            </w:pPr>
            <w:r>
              <w:rPr>
                <w:sz w:val="24"/>
                <w:szCs w:val="24"/>
                <w:lang w:eastAsia="zh-CN"/>
              </w:rPr>
              <w:t>- Hộ nghèo theo chuẩn nghèo được quy định.</w:t>
            </w:r>
          </w:p>
          <w:p w14:paraId="70AD862E">
            <w:pPr>
              <w:spacing w:before="40" w:after="40"/>
              <w:ind w:left="140" w:right="98"/>
              <w:jc w:val="both"/>
              <w:rPr>
                <w:sz w:val="24"/>
                <w:szCs w:val="24"/>
                <w:lang w:eastAsia="zh-CN"/>
              </w:rPr>
            </w:pPr>
            <w:r>
              <w:rPr>
                <w:sz w:val="24"/>
                <w:szCs w:val="24"/>
                <w:lang w:eastAsia="zh-CN"/>
              </w:rPr>
              <w:t>- Đồng bào dân tộc thiểu số cư trú tại các xã thuộc khu vực có điều kiện kinh tế - xã hội đặc biệt khó khăn theo quy định.</w:t>
            </w:r>
          </w:p>
          <w:p w14:paraId="65978875">
            <w:pPr>
              <w:spacing w:before="40" w:after="40"/>
              <w:ind w:left="140" w:right="98"/>
              <w:jc w:val="both"/>
              <w:rPr>
                <w:bCs/>
                <w:i/>
                <w:iCs/>
                <w:sz w:val="24"/>
                <w:szCs w:val="24"/>
                <w:lang w:val="vi-VN"/>
              </w:rPr>
            </w:pPr>
            <w:r>
              <w:rPr>
                <w:sz w:val="24"/>
                <w:szCs w:val="24"/>
                <w:lang w:eastAsia="zh-CN"/>
              </w:rPr>
              <w:t>- Người khuyết tật theo quy định của pháp luật.</w:t>
            </w:r>
          </w:p>
        </w:tc>
        <w:tc>
          <w:tcPr>
            <w:tcW w:w="1551" w:type="pct"/>
            <w:tcBorders>
              <w:top w:val="single" w:color="auto" w:sz="4" w:space="0"/>
              <w:left w:val="single" w:color="auto" w:sz="4" w:space="0"/>
              <w:bottom w:val="dashed" w:color="auto" w:sz="4" w:space="0"/>
              <w:right w:val="single" w:color="auto" w:sz="4" w:space="0"/>
            </w:tcBorders>
            <w:shd w:val="clear" w:color="auto" w:fill="FFFFFF"/>
            <w:vAlign w:val="center"/>
          </w:tcPr>
          <w:p w14:paraId="60E49838">
            <w:pPr>
              <w:spacing w:before="40" w:after="40"/>
              <w:ind w:left="140" w:right="98"/>
              <w:jc w:val="both"/>
              <w:rPr>
                <w:sz w:val="24"/>
                <w:szCs w:val="24"/>
              </w:rPr>
            </w:pPr>
            <w:r>
              <w:rPr>
                <w:sz w:val="24"/>
                <w:szCs w:val="24"/>
              </w:rPr>
              <w:t xml:space="preserve">- Phù hợp với quy định tại Luật Phí và lệ phí số 97/2015/QH13, Nghị định số 362/2025/NĐ-CP ngày 31/12/2025 của Chính phủ.  </w:t>
            </w:r>
          </w:p>
          <w:p w14:paraId="6D08862D">
            <w:pPr>
              <w:spacing w:before="40" w:after="40"/>
              <w:ind w:left="140" w:right="98"/>
              <w:jc w:val="both"/>
              <w:rPr>
                <w:sz w:val="24"/>
                <w:szCs w:val="24"/>
                <w:lang w:eastAsia="zh-CN"/>
              </w:rPr>
            </w:pPr>
            <w:r>
              <w:rPr>
                <w:sz w:val="24"/>
                <w:szCs w:val="24"/>
              </w:rPr>
              <w:t xml:space="preserve">- </w:t>
            </w:r>
            <w:r>
              <w:rPr>
                <w:sz w:val="24"/>
                <w:szCs w:val="24"/>
                <w:lang w:eastAsia="zh-CN"/>
              </w:rPr>
              <w:t>Căn cứ Nghị quyết 13/2025/NQ-HĐND ngày 18/12/2025 của Hội đồng nhân dân tỉnh Khánh Hòa quy định mức thu 0 đồng đối với một số loại phí, lệ phí thuộc thẩm quyền Quyết định của Hội đồng nhân dân tỉnh khi thực hiện thủ tục hành chính trực tuyến: Đối với trường hợp tổ chức, cá nhân có yêu cầu giải quyết thủ tục hành chính thông qua Dịch vụ công trực tuyến trên địa bàn tỉnh Khánh Hòa thì được miễn 100% mức thu phí.</w:t>
            </w:r>
          </w:p>
          <w:p w14:paraId="3F74FF0D">
            <w:pPr>
              <w:spacing w:before="40" w:after="40"/>
              <w:ind w:left="146"/>
              <w:jc w:val="both"/>
              <w:rPr>
                <w:sz w:val="24"/>
                <w:szCs w:val="24"/>
              </w:rPr>
            </w:pPr>
          </w:p>
        </w:tc>
      </w:tr>
      <w:tr w14:paraId="21F73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07" w:type="pct"/>
            <w:tcBorders>
              <w:top w:val="single" w:color="auto" w:sz="4" w:space="0"/>
              <w:left w:val="single" w:color="auto" w:sz="4" w:space="0"/>
              <w:bottom w:val="single" w:color="auto" w:sz="4" w:space="0"/>
              <w:right w:val="single" w:color="auto" w:sz="4" w:space="0"/>
            </w:tcBorders>
            <w:shd w:val="clear" w:color="auto" w:fill="FFFFFF"/>
            <w:vAlign w:val="center"/>
          </w:tcPr>
          <w:p w14:paraId="0276C39B">
            <w:pPr>
              <w:numPr>
                <w:ilvl w:val="0"/>
                <w:numId w:val="2"/>
              </w:numPr>
              <w:spacing w:before="40" w:after="40"/>
              <w:ind w:left="140" w:right="98"/>
              <w:jc w:val="both"/>
              <w:rPr>
                <w:b/>
                <w:bCs/>
                <w:sz w:val="24"/>
                <w:szCs w:val="24"/>
                <w:lang w:eastAsia="zh-CN"/>
              </w:rPr>
            </w:pPr>
            <w:r>
              <w:rPr>
                <w:b/>
                <w:bCs/>
                <w:sz w:val="24"/>
                <w:szCs w:val="24"/>
                <w:lang w:eastAsia="zh-CN"/>
              </w:rPr>
              <w:t>Quản lý và sử dụng phí:</w:t>
            </w:r>
          </w:p>
          <w:p w14:paraId="4FE17E53">
            <w:pPr>
              <w:spacing w:before="40" w:after="40"/>
              <w:ind w:right="98"/>
              <w:jc w:val="both"/>
              <w:rPr>
                <w:sz w:val="24"/>
                <w:szCs w:val="24"/>
                <w:lang w:eastAsia="zh-CN"/>
              </w:rPr>
            </w:pPr>
          </w:p>
          <w:p w14:paraId="143D491B">
            <w:pPr>
              <w:spacing w:before="40" w:after="40"/>
              <w:ind w:left="140" w:right="98"/>
              <w:jc w:val="both"/>
              <w:rPr>
                <w:b/>
                <w:sz w:val="24"/>
                <w:szCs w:val="24"/>
              </w:rPr>
            </w:pPr>
            <w:r>
              <w:rPr>
                <w:b/>
                <w:sz w:val="24"/>
                <w:szCs w:val="24"/>
              </w:rPr>
              <w:t xml:space="preserve">- Theo Nghị quyết số 13/2021/NQ-HĐND ngày 19/10/2021 của HĐND tỉnh Khánh Hòa: </w:t>
            </w:r>
          </w:p>
          <w:p w14:paraId="5E50EC56">
            <w:pPr>
              <w:spacing w:before="40" w:after="40"/>
              <w:ind w:left="140" w:right="98"/>
              <w:jc w:val="both"/>
              <w:rPr>
                <w:sz w:val="24"/>
                <w:szCs w:val="24"/>
                <w:lang w:eastAsia="zh-CN"/>
              </w:rPr>
            </w:pPr>
            <w:r>
              <w:rPr>
                <w:sz w:val="24"/>
                <w:szCs w:val="24"/>
                <w:lang w:eastAsia="zh-CN"/>
              </w:rPr>
              <w:t>5. Chế độ thu, nộp, quản lý và sử dụng phí</w:t>
            </w:r>
          </w:p>
          <w:p w14:paraId="608126F0">
            <w:pPr>
              <w:spacing w:before="40" w:after="40"/>
              <w:ind w:left="140" w:right="98"/>
              <w:jc w:val="both"/>
              <w:rPr>
                <w:sz w:val="24"/>
                <w:szCs w:val="24"/>
                <w:lang w:eastAsia="zh-CN"/>
              </w:rPr>
            </w:pPr>
            <w:r>
              <w:rPr>
                <w:sz w:val="24"/>
                <w:szCs w:val="24"/>
                <w:lang w:eastAsia="zh-CN"/>
              </w:rPr>
              <w:t>a) Phí đăng ký giao dịch bảo đảm và phí cung cấp thông tin về giao dịch bảo đảm bằng quyền sử dụng đất và tài sản gắn liền với đất là khoản thu thuộc ngân sách nhà nước. Cơ quan thu phí được để lại 100% số tiền thu phí để sử dụng theo quy định.</w:t>
            </w:r>
          </w:p>
          <w:p w14:paraId="22BDB2CC">
            <w:pPr>
              <w:spacing w:before="40" w:after="40"/>
              <w:ind w:left="140" w:right="98"/>
              <w:jc w:val="both"/>
              <w:rPr>
                <w:sz w:val="24"/>
                <w:szCs w:val="24"/>
                <w:lang w:eastAsia="zh-CN"/>
              </w:rPr>
            </w:pPr>
            <w:r>
              <w:rPr>
                <w:sz w:val="24"/>
                <w:szCs w:val="24"/>
                <w:lang w:eastAsia="zh-CN"/>
              </w:rPr>
              <w:t>b) Các nội dung khác liên quan đến việc kê khai, thu, nộp, quản lý và sử dụng phí đăng ký giao dịch bảo đảm và phí cung cấp thông tin về giao dịch bảo đảm bằng quyền sử dụng đất và tài sản gắn liền với đất trên địa bàn tỉnh Khánh Hòa được thực hiện theo quy định của pháp luật.</w:t>
            </w:r>
          </w:p>
          <w:p w14:paraId="00E64910">
            <w:pPr>
              <w:spacing w:before="40" w:after="40"/>
              <w:ind w:right="98"/>
              <w:jc w:val="both"/>
              <w:rPr>
                <w:sz w:val="24"/>
                <w:szCs w:val="24"/>
                <w:lang w:eastAsia="zh-CN"/>
              </w:rPr>
            </w:pPr>
          </w:p>
          <w:p w14:paraId="1E3CBE89">
            <w:pPr>
              <w:spacing w:before="40" w:after="40"/>
              <w:ind w:left="140" w:right="98"/>
              <w:jc w:val="both"/>
              <w:rPr>
                <w:sz w:val="24"/>
                <w:szCs w:val="24"/>
              </w:rPr>
            </w:pPr>
          </w:p>
        </w:tc>
        <w:tc>
          <w:tcPr>
            <w:tcW w:w="1641" w:type="pct"/>
            <w:tcBorders>
              <w:top w:val="single" w:color="auto" w:sz="4" w:space="0"/>
              <w:left w:val="single" w:color="auto" w:sz="4" w:space="0"/>
              <w:bottom w:val="single" w:color="auto" w:sz="4" w:space="0"/>
              <w:right w:val="single" w:color="auto" w:sz="4" w:space="0"/>
            </w:tcBorders>
            <w:shd w:val="clear" w:color="auto" w:fill="FFFFFF"/>
            <w:vAlign w:val="center"/>
          </w:tcPr>
          <w:p w14:paraId="75741F2A">
            <w:pPr>
              <w:spacing w:before="40" w:after="40"/>
              <w:ind w:left="140" w:right="98"/>
              <w:jc w:val="both"/>
              <w:rPr>
                <w:sz w:val="24"/>
                <w:szCs w:val="24"/>
                <w:lang w:eastAsia="zh-CN"/>
              </w:rPr>
            </w:pPr>
            <w:r>
              <w:rPr>
                <w:sz w:val="24"/>
                <w:szCs w:val="24"/>
                <w:lang w:eastAsia="zh-CN"/>
              </w:rPr>
              <w:t>6. Quản lý và sử dụng phí:</w:t>
            </w:r>
          </w:p>
          <w:p w14:paraId="12D1A633">
            <w:pPr>
              <w:spacing w:before="40" w:after="40"/>
              <w:ind w:left="140" w:right="98"/>
              <w:jc w:val="both"/>
              <w:rPr>
                <w:sz w:val="24"/>
                <w:szCs w:val="24"/>
                <w:lang w:eastAsia="zh-CN"/>
              </w:rPr>
            </w:pPr>
            <w:r>
              <w:rPr>
                <w:sz w:val="24"/>
                <w:szCs w:val="24"/>
                <w:lang w:eastAsia="zh-CN"/>
              </w:rPr>
              <w:t>a) Tổ chức thu phí được để lại 100% số tiền thu phí để trang trải chi phí hoạt động cung cấp dịch vụ, thu phí theo quy định.</w:t>
            </w:r>
          </w:p>
          <w:p w14:paraId="134F2A74">
            <w:pPr>
              <w:spacing w:before="40" w:after="40"/>
              <w:ind w:left="140" w:right="98"/>
              <w:jc w:val="both"/>
              <w:rPr>
                <w:sz w:val="24"/>
                <w:szCs w:val="24"/>
                <w:lang w:eastAsia="zh-CN"/>
              </w:rPr>
            </w:pPr>
            <w:r>
              <w:rPr>
                <w:sz w:val="24"/>
                <w:szCs w:val="24"/>
                <w:lang w:eastAsia="zh-CN"/>
              </w:rPr>
              <w:t>b) Các nội dung liên quan đến việc kê khai, thu, nộp, quản lý, sử dụng phí được thực hiện theo quy định Luật Phí và lệ phí số 97/2015/QH13, Nghị định số 362/2025/NĐ-CP ngày 31 tháng 12 năm 2025 của Chính phủ quy định chi tiết một số điều và biện pháp để tổ chức, h</w:t>
            </w:r>
            <w:r>
              <w:rPr>
                <w:rFonts w:hint="eastAsia"/>
                <w:sz w:val="24"/>
                <w:szCs w:val="24"/>
                <w:lang w:eastAsia="zh-CN"/>
              </w:rPr>
              <w:t>ư</w:t>
            </w:r>
            <w:r>
              <w:rPr>
                <w:sz w:val="24"/>
                <w:szCs w:val="24"/>
                <w:lang w:eastAsia="zh-CN"/>
              </w:rPr>
              <w:t>ớng dẫn thi hành Luật Phí và lệ phí và các quy định khác có liên quan.</w:t>
            </w:r>
          </w:p>
          <w:p w14:paraId="7885FB37">
            <w:pPr>
              <w:spacing w:before="40" w:after="40"/>
              <w:ind w:left="140" w:right="98"/>
              <w:jc w:val="both"/>
              <w:rPr>
                <w:sz w:val="24"/>
                <w:szCs w:val="24"/>
                <w:lang w:eastAsia="zh-CN"/>
              </w:rPr>
            </w:pPr>
          </w:p>
        </w:tc>
        <w:tc>
          <w:tcPr>
            <w:tcW w:w="1551" w:type="pct"/>
            <w:tcBorders>
              <w:top w:val="dashed" w:color="auto" w:sz="4" w:space="0"/>
              <w:left w:val="single" w:color="auto" w:sz="4" w:space="0"/>
              <w:bottom w:val="dashed" w:color="auto" w:sz="4" w:space="0"/>
              <w:right w:val="single" w:color="auto" w:sz="4" w:space="0"/>
            </w:tcBorders>
            <w:shd w:val="clear" w:color="auto" w:fill="FFFFFF"/>
            <w:vAlign w:val="center"/>
          </w:tcPr>
          <w:p w14:paraId="453E7234">
            <w:pPr>
              <w:spacing w:before="40" w:after="40"/>
              <w:ind w:left="146"/>
              <w:jc w:val="both"/>
              <w:rPr>
                <w:sz w:val="24"/>
                <w:szCs w:val="24"/>
              </w:rPr>
            </w:pPr>
          </w:p>
        </w:tc>
      </w:tr>
      <w:tr w14:paraId="730EF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43" w:hRule="atLeast"/>
        </w:trPr>
        <w:tc>
          <w:tcPr>
            <w:tcW w:w="1807" w:type="pct"/>
            <w:tcBorders>
              <w:top w:val="single" w:color="auto" w:sz="4" w:space="0"/>
              <w:left w:val="single" w:color="auto" w:sz="4" w:space="0"/>
              <w:bottom w:val="single" w:color="auto" w:sz="4" w:space="0"/>
              <w:right w:val="single" w:color="auto" w:sz="4" w:space="0"/>
            </w:tcBorders>
            <w:shd w:val="clear" w:color="auto" w:fill="FFFFFF"/>
            <w:vAlign w:val="center"/>
          </w:tcPr>
          <w:p w14:paraId="283F9AD0">
            <w:pPr>
              <w:spacing w:before="40" w:after="40"/>
              <w:ind w:left="140" w:right="98"/>
              <w:jc w:val="both"/>
              <w:rPr>
                <w:b/>
                <w:sz w:val="24"/>
                <w:szCs w:val="24"/>
              </w:rPr>
            </w:pPr>
            <w:r>
              <w:rPr>
                <w:b/>
                <w:sz w:val="24"/>
                <w:szCs w:val="24"/>
              </w:rPr>
              <w:t>- Theo Nghị quyết số 16/2020/NQ-HĐND ngày 10/12/2020 của HĐND tỉnh Ninh Thuận:</w:t>
            </w:r>
          </w:p>
          <w:p w14:paraId="3D595E71">
            <w:pPr>
              <w:spacing w:before="40" w:after="40"/>
              <w:ind w:left="140" w:right="98"/>
              <w:jc w:val="both"/>
              <w:rPr>
                <w:sz w:val="24"/>
                <w:szCs w:val="24"/>
                <w:lang w:eastAsia="zh-CN"/>
              </w:rPr>
            </w:pPr>
            <w:r>
              <w:rPr>
                <w:sz w:val="24"/>
                <w:szCs w:val="24"/>
                <w:lang w:eastAsia="zh-CN"/>
              </w:rPr>
              <w:t>Điều 2. Mức thu, chế độ thu, nộp, quản lý và sử dụng phí</w:t>
            </w:r>
          </w:p>
          <w:p w14:paraId="6F67A3A4">
            <w:pPr>
              <w:spacing w:before="40" w:after="40"/>
              <w:ind w:left="140" w:right="98"/>
              <w:jc w:val="both"/>
              <w:rPr>
                <w:sz w:val="24"/>
                <w:szCs w:val="24"/>
                <w:lang w:eastAsia="zh-CN"/>
              </w:rPr>
            </w:pPr>
            <w:r>
              <w:rPr>
                <w:sz w:val="24"/>
                <w:szCs w:val="24"/>
                <w:lang w:eastAsia="zh-CN"/>
              </w:rPr>
              <w:t>2. Chế độ thu, nộp, quản lý và sử dụng phí:</w:t>
            </w:r>
          </w:p>
          <w:p w14:paraId="19C1C9BD">
            <w:pPr>
              <w:spacing w:before="40" w:after="40"/>
              <w:ind w:left="140" w:right="98"/>
              <w:jc w:val="both"/>
              <w:rPr>
                <w:sz w:val="24"/>
                <w:szCs w:val="24"/>
                <w:lang w:eastAsia="zh-CN"/>
              </w:rPr>
            </w:pPr>
            <w:r>
              <w:rPr>
                <w:sz w:val="24"/>
                <w:szCs w:val="24"/>
                <w:lang w:eastAsia="zh-CN"/>
              </w:rPr>
              <w:t>a) Chế độ thu nộp: Cơ quan thu phí được giữ lại 100% số tiền phí thu được để trang trải chi phí cần thiết cho thực hiện công việc, dịch vụ đăng ký biện pháp bảo đảm và thu phí.</w:t>
            </w:r>
          </w:p>
          <w:p w14:paraId="369C16E2">
            <w:pPr>
              <w:spacing w:before="40" w:after="40"/>
              <w:ind w:left="140" w:right="98"/>
              <w:jc w:val="both"/>
              <w:rPr>
                <w:sz w:val="24"/>
                <w:szCs w:val="24"/>
                <w:lang w:eastAsia="zh-CN"/>
              </w:rPr>
            </w:pPr>
            <w:r>
              <w:rPr>
                <w:sz w:val="24"/>
                <w:szCs w:val="24"/>
                <w:lang w:eastAsia="zh-CN"/>
              </w:rPr>
              <w:t>b) Việc quản lý và sử dụng phí: Thực hiện theo quy định tại Nghị định số </w:t>
            </w:r>
            <w:r>
              <w:fldChar w:fldCharType="begin"/>
            </w:r>
            <w:r>
              <w:instrText xml:space="preserve"> HYPERLINK "https://thuvienphapluat.vn/van-ban/thue-phi-le-phi/nghi-dinh-120-2016-nd-cp-huong-dan-luat-phi-le-phi-320506.aspx" \t "https://thuvienphapluat.vn/van-ban/Thue-Phi-Le-Phi/_blank" \o "Nghị định 120/2016/NĐ-CP" </w:instrText>
            </w:r>
            <w:r>
              <w:fldChar w:fldCharType="separate"/>
            </w:r>
            <w:r>
              <w:rPr>
                <w:sz w:val="24"/>
                <w:szCs w:val="24"/>
                <w:lang w:eastAsia="zh-CN"/>
              </w:rPr>
              <w:t>120/2016/NĐ-CP</w:t>
            </w:r>
            <w:r>
              <w:rPr>
                <w:sz w:val="24"/>
                <w:szCs w:val="24"/>
                <w:lang w:eastAsia="zh-CN"/>
              </w:rPr>
              <w:fldChar w:fldCharType="end"/>
            </w:r>
            <w:r>
              <w:rPr>
                <w:sz w:val="24"/>
                <w:szCs w:val="24"/>
                <w:lang w:eastAsia="zh-CN"/>
              </w:rPr>
              <w:t> ngày 23/8/2016 của Chính phủ quy định chi tiết và hướng dẫn thi hành một số điều của Luật phí và lệ phí.</w:t>
            </w:r>
          </w:p>
          <w:p w14:paraId="18B6D9F9">
            <w:pPr>
              <w:spacing w:before="40" w:after="40"/>
              <w:ind w:left="140" w:right="98"/>
              <w:jc w:val="both"/>
              <w:rPr>
                <w:rFonts w:ascii="Arial" w:hAnsi="Arial" w:eastAsia="SimSun" w:cs="Arial"/>
                <w:b/>
                <w:bCs/>
                <w:color w:val="000000"/>
                <w:sz w:val="18"/>
                <w:szCs w:val="18"/>
                <w:shd w:val="clear" w:color="auto" w:fill="FFFFFF"/>
              </w:rPr>
            </w:pPr>
          </w:p>
        </w:tc>
        <w:tc>
          <w:tcPr>
            <w:tcW w:w="1641" w:type="pct"/>
            <w:tcBorders>
              <w:top w:val="single" w:color="auto" w:sz="4" w:space="0"/>
              <w:left w:val="single" w:color="auto" w:sz="4" w:space="0"/>
              <w:bottom w:val="single" w:color="auto" w:sz="4" w:space="0"/>
              <w:right w:val="single" w:color="auto" w:sz="4" w:space="0"/>
            </w:tcBorders>
            <w:shd w:val="clear" w:color="auto" w:fill="FFFFFF"/>
            <w:vAlign w:val="center"/>
          </w:tcPr>
          <w:p w14:paraId="3148FDAB">
            <w:pPr>
              <w:spacing w:before="40" w:after="40"/>
              <w:ind w:left="140" w:right="98"/>
              <w:jc w:val="both"/>
              <w:rPr>
                <w:bCs/>
                <w:i/>
                <w:iCs/>
                <w:sz w:val="24"/>
                <w:szCs w:val="24"/>
              </w:rPr>
            </w:pPr>
          </w:p>
        </w:tc>
        <w:tc>
          <w:tcPr>
            <w:tcW w:w="1551" w:type="pct"/>
            <w:vMerge w:val="restart"/>
            <w:tcBorders>
              <w:top w:val="dashed" w:color="auto" w:sz="4" w:space="0"/>
              <w:left w:val="single" w:color="auto" w:sz="4" w:space="0"/>
              <w:right w:val="single" w:color="auto" w:sz="4" w:space="0"/>
            </w:tcBorders>
            <w:shd w:val="clear" w:color="auto" w:fill="FFFFFF"/>
            <w:vAlign w:val="center"/>
          </w:tcPr>
          <w:p w14:paraId="0315F31A">
            <w:pPr>
              <w:spacing w:before="40" w:after="40"/>
              <w:ind w:left="140" w:right="98"/>
              <w:jc w:val="both"/>
              <w:rPr>
                <w:sz w:val="24"/>
                <w:szCs w:val="24"/>
              </w:rPr>
            </w:pPr>
          </w:p>
          <w:p w14:paraId="3D0A49C5">
            <w:pPr>
              <w:spacing w:before="40" w:after="40"/>
              <w:ind w:left="140" w:right="98"/>
              <w:jc w:val="both"/>
              <w:rPr>
                <w:sz w:val="24"/>
                <w:szCs w:val="24"/>
              </w:rPr>
            </w:pPr>
            <w:r>
              <w:rPr>
                <w:sz w:val="24"/>
                <w:szCs w:val="24"/>
              </w:rPr>
              <w:t xml:space="preserve"> </w:t>
            </w:r>
          </w:p>
          <w:p w14:paraId="5A70E822">
            <w:pPr>
              <w:spacing w:before="40" w:after="40"/>
              <w:ind w:left="140" w:right="98"/>
              <w:jc w:val="both"/>
              <w:rPr>
                <w:sz w:val="24"/>
                <w:szCs w:val="24"/>
              </w:rPr>
            </w:pPr>
          </w:p>
        </w:tc>
      </w:tr>
      <w:tr w14:paraId="3104A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43" w:hRule="atLeast"/>
        </w:trPr>
        <w:tc>
          <w:tcPr>
            <w:tcW w:w="1807" w:type="pct"/>
            <w:tcBorders>
              <w:top w:val="single" w:color="auto" w:sz="4" w:space="0"/>
              <w:left w:val="single" w:color="auto" w:sz="4" w:space="0"/>
              <w:bottom w:val="single" w:color="auto" w:sz="4" w:space="0"/>
              <w:right w:val="single" w:color="auto" w:sz="4" w:space="0"/>
            </w:tcBorders>
            <w:shd w:val="clear" w:color="auto" w:fill="FFFFFF"/>
            <w:vAlign w:val="center"/>
          </w:tcPr>
          <w:p w14:paraId="5F6F5BDA">
            <w:pPr>
              <w:pStyle w:val="17"/>
              <w:spacing w:before="40" w:beforeAutospacing="0" w:after="40" w:afterAutospacing="0"/>
              <w:jc w:val="both"/>
              <w:rPr>
                <w:b/>
                <w:iCs/>
                <w:lang w:val="vi-VN"/>
              </w:rPr>
            </w:pPr>
            <w:r>
              <w:rPr>
                <w:b/>
                <w:iCs/>
                <w:lang w:val="vi-VN"/>
              </w:rPr>
              <w:t>Điều 2. Hiệu lực thi hành</w:t>
            </w:r>
          </w:p>
          <w:p w14:paraId="7A6CA5F4">
            <w:pPr>
              <w:spacing w:before="40" w:after="40"/>
              <w:ind w:left="140" w:right="98"/>
              <w:jc w:val="both"/>
            </w:pPr>
          </w:p>
          <w:p w14:paraId="28DDFA2E">
            <w:pPr>
              <w:spacing w:before="40" w:after="40"/>
              <w:ind w:left="140" w:right="98"/>
              <w:jc w:val="both"/>
              <w:rPr>
                <w:b/>
                <w:sz w:val="24"/>
                <w:szCs w:val="24"/>
              </w:rPr>
            </w:pPr>
            <w:r>
              <w:rPr>
                <w:b/>
                <w:sz w:val="24"/>
                <w:szCs w:val="24"/>
              </w:rPr>
              <w:t xml:space="preserve">- Theo Nghị quyết số 13/2021/NQ-HĐND ngày 19/10/2021 của HĐND tỉnh Khánh Hòa: </w:t>
            </w:r>
          </w:p>
          <w:p w14:paraId="5009D053">
            <w:pPr>
              <w:pStyle w:val="17"/>
              <w:spacing w:before="40" w:beforeAutospacing="0" w:after="40" w:afterAutospacing="0"/>
              <w:jc w:val="both"/>
              <w:rPr>
                <w:bCs/>
                <w:iCs/>
                <w:lang w:val="nl-NL"/>
              </w:rPr>
            </w:pPr>
            <w:r>
              <w:rPr>
                <w:bCs/>
                <w:iCs/>
                <w:lang w:val="nl-NL"/>
              </w:rPr>
              <w:t>Điều 2. Tổ chức thực hiện</w:t>
            </w:r>
          </w:p>
          <w:p w14:paraId="3B979D56">
            <w:pPr>
              <w:pStyle w:val="17"/>
              <w:spacing w:before="40" w:beforeAutospacing="0" w:after="40" w:afterAutospacing="0"/>
              <w:jc w:val="both"/>
              <w:rPr>
                <w:bCs/>
                <w:iCs/>
                <w:lang w:val="nl-NL"/>
              </w:rPr>
            </w:pPr>
            <w:r>
              <w:rPr>
                <w:bCs/>
                <w:iCs/>
                <w:lang w:val="nl-NL"/>
              </w:rPr>
              <w:t>1. Nghị quyết này thay thế Nghị quyết số </w:t>
            </w:r>
            <w:r>
              <w:fldChar w:fldCharType="begin"/>
            </w:r>
            <w:r>
              <w:instrText xml:space="preserve"> HYPERLINK "https://thuvienphapluat.vn/van-ban/thue-phi-le-phi/nghi-quyet-16-2016-nq-hdnd-muc-thu-nop-quan-ly-su-dung-phi-dang-ky-giao-dich-bao-dam-khanh-hoa-338996.aspx" \t "https://thuvienphapluat.vn/van-ban/Thue-Phi-Le-Phi/_blank" \o "Nghị quyết 16/2016/NQ-HĐND" </w:instrText>
            </w:r>
            <w:r>
              <w:fldChar w:fldCharType="separate"/>
            </w:r>
            <w:r>
              <w:rPr>
                <w:bCs/>
                <w:iCs/>
                <w:lang w:val="nl-NL"/>
              </w:rPr>
              <w:t>16/2016/NQ-HĐND</w:t>
            </w:r>
            <w:r>
              <w:rPr>
                <w:bCs/>
                <w:iCs/>
                <w:lang w:val="nl-NL"/>
              </w:rPr>
              <w:fldChar w:fldCharType="end"/>
            </w:r>
            <w:r>
              <w:rPr>
                <w:bCs/>
                <w:iCs/>
                <w:lang w:val="nl-NL"/>
              </w:rPr>
              <w:t> , ngày 13/12/2016 của Hội đồng nhân dân tỉnh về việc quy định mức thu, nộp, quản lý và sử dụng phí đăng ký giao dịch bảo đảm, phí cung cấp thông tin về giao dịch bảo đảm trên địa bàn tỉnh Khánh Hòa.</w:t>
            </w:r>
          </w:p>
          <w:p w14:paraId="708B58B3">
            <w:pPr>
              <w:spacing w:before="40" w:after="40"/>
              <w:ind w:left="140" w:right="98"/>
              <w:jc w:val="both"/>
              <w:rPr>
                <w:b/>
                <w:sz w:val="24"/>
                <w:szCs w:val="24"/>
              </w:rPr>
            </w:pPr>
          </w:p>
          <w:p w14:paraId="1BC66AA5">
            <w:pPr>
              <w:spacing w:before="40" w:after="40"/>
              <w:ind w:left="140" w:right="98"/>
              <w:jc w:val="both"/>
              <w:rPr>
                <w:b/>
                <w:sz w:val="24"/>
                <w:szCs w:val="24"/>
              </w:rPr>
            </w:pPr>
            <w:r>
              <w:rPr>
                <w:b/>
                <w:sz w:val="24"/>
                <w:szCs w:val="24"/>
              </w:rPr>
              <w:t>- Theo Nghị quyết số 16/2020/NQ-HĐND ngày 10/12/2020 của HĐND tỉnh Ninh Thuận:</w:t>
            </w:r>
          </w:p>
          <w:p w14:paraId="2495CECF">
            <w:pPr>
              <w:pStyle w:val="17"/>
              <w:spacing w:before="40" w:beforeAutospacing="0" w:after="40" w:afterAutospacing="0"/>
              <w:jc w:val="both"/>
              <w:rPr>
                <w:bCs/>
                <w:iCs/>
                <w:lang w:val="nl-NL"/>
              </w:rPr>
            </w:pPr>
            <w:bookmarkStart w:id="4" w:name="dieu_3"/>
            <w:r>
              <w:rPr>
                <w:bCs/>
                <w:iCs/>
              </w:rPr>
              <w:t>Điều 3. Tổ chức thực hiện</w:t>
            </w:r>
            <w:bookmarkEnd w:id="4"/>
          </w:p>
          <w:p w14:paraId="031FB171">
            <w:pPr>
              <w:pStyle w:val="17"/>
              <w:spacing w:before="40" w:beforeAutospacing="0" w:after="40" w:afterAutospacing="0"/>
              <w:jc w:val="both"/>
              <w:rPr>
                <w:bCs/>
                <w:iCs/>
                <w:lang w:val="nl-NL"/>
              </w:rPr>
            </w:pPr>
            <w:r>
              <w:rPr>
                <w:bCs/>
                <w:iCs/>
                <w:lang w:val="nl-NL"/>
              </w:rPr>
              <w:t>Nghị quyết này đã được Hội đồng nhân dân tỉnh Ninh Thuận Khóa X Kỳ họp thứ 16 thông qua ngày 10 tháng 12 năm 2020 và có hiệu lực thi hành kể từ ngày 21 tháng 12 năm 2020; thay thế Nghị quyết số </w:t>
            </w:r>
            <w:r>
              <w:fldChar w:fldCharType="begin"/>
            </w:r>
            <w:r>
              <w:instrText xml:space="preserve"> HYPERLINK "https://thuvienphapluat.vn/phap-luat/tim-van-ban.aspx?keyword=19/2017/NQ-H%C4%90ND&amp;match=True&amp;area=2&amp;lan=1&amp;bday=17/7/2017&amp;eday=17/7/2017" \t "https://thuvienphapluat.vn/van-ban/Thue-Phi-Le-Phi/_blank" \o "19/2017/NQ-HĐND" </w:instrText>
            </w:r>
            <w:r>
              <w:fldChar w:fldCharType="separate"/>
            </w:r>
            <w:r>
              <w:rPr>
                <w:bCs/>
                <w:iCs/>
                <w:lang w:val="nl-NL"/>
              </w:rPr>
              <w:t>19/2017/NQ-HĐND</w:t>
            </w:r>
            <w:r>
              <w:rPr>
                <w:bCs/>
                <w:iCs/>
                <w:lang w:val="nl-NL"/>
              </w:rPr>
              <w:fldChar w:fldCharType="end"/>
            </w:r>
            <w:r>
              <w:rPr>
                <w:bCs/>
                <w:iCs/>
                <w:lang w:val="nl-NL"/>
              </w:rPr>
              <w:t> ngày 17/7/2017 của HĐND tỉnh Ninh Thuận quy định mức thu, chế độ thu, nộp, quản lý và sử dụng phí đăng ký giao dịch bảo đảm trên địa bàn tỉnh Ninh Thuận./.</w:t>
            </w:r>
          </w:p>
          <w:p w14:paraId="1E6717A1">
            <w:pPr>
              <w:spacing w:before="40" w:after="40"/>
              <w:ind w:left="140" w:right="98"/>
              <w:jc w:val="both"/>
            </w:pPr>
          </w:p>
          <w:p w14:paraId="380BF8CA">
            <w:pPr>
              <w:spacing w:before="40" w:after="40"/>
              <w:ind w:left="140" w:right="98"/>
              <w:jc w:val="both"/>
            </w:pPr>
          </w:p>
          <w:p w14:paraId="315520B6">
            <w:pPr>
              <w:spacing w:before="40" w:after="40"/>
              <w:ind w:left="140" w:right="98"/>
              <w:jc w:val="both"/>
            </w:pPr>
          </w:p>
          <w:p w14:paraId="10C61D55">
            <w:pPr>
              <w:spacing w:before="40" w:after="40"/>
              <w:ind w:left="140" w:right="98"/>
              <w:jc w:val="both"/>
            </w:pPr>
          </w:p>
        </w:tc>
        <w:tc>
          <w:tcPr>
            <w:tcW w:w="1641" w:type="pct"/>
            <w:tcBorders>
              <w:top w:val="single" w:color="auto" w:sz="4" w:space="0"/>
              <w:left w:val="single" w:color="auto" w:sz="4" w:space="0"/>
              <w:bottom w:val="single" w:color="auto" w:sz="4" w:space="0"/>
              <w:right w:val="single" w:color="auto" w:sz="4" w:space="0"/>
            </w:tcBorders>
            <w:shd w:val="clear" w:color="auto" w:fill="FFFFFF"/>
            <w:vAlign w:val="center"/>
          </w:tcPr>
          <w:p w14:paraId="79424100">
            <w:pPr>
              <w:pStyle w:val="17"/>
              <w:spacing w:before="40" w:beforeAutospacing="0" w:after="40" w:afterAutospacing="0"/>
              <w:jc w:val="both"/>
              <w:rPr>
                <w:bCs/>
                <w:iCs/>
                <w:lang w:val="vi-VN"/>
              </w:rPr>
            </w:pPr>
            <w:r>
              <w:rPr>
                <w:b/>
                <w:iCs/>
                <w:lang w:val="vi-VN"/>
              </w:rPr>
              <w:t>Điều 2.</w:t>
            </w:r>
            <w:r>
              <w:rPr>
                <w:bCs/>
                <w:iCs/>
                <w:lang w:val="vi-VN"/>
              </w:rPr>
              <w:t xml:space="preserve"> Hiệu lực thi hành</w:t>
            </w:r>
          </w:p>
          <w:p w14:paraId="59D0C44E">
            <w:pPr>
              <w:pStyle w:val="17"/>
              <w:spacing w:before="40" w:beforeAutospacing="0" w:after="40" w:afterAutospacing="0"/>
              <w:jc w:val="both"/>
              <w:rPr>
                <w:bCs/>
                <w:iCs/>
                <w:lang w:val="vi-VN"/>
              </w:rPr>
            </w:pPr>
            <w:r>
              <w:rPr>
                <w:bCs/>
                <w:iCs/>
                <w:lang w:val="vi-VN"/>
              </w:rPr>
              <w:t>1. Nghị quyết ngày có hiệu lực thi hành sau 10 ngày kể từ ngày Nghị quyết Hội đồng nhân dân tỉnh thông qua.</w:t>
            </w:r>
          </w:p>
          <w:p w14:paraId="53B0AA0F">
            <w:pPr>
              <w:pStyle w:val="17"/>
              <w:spacing w:before="40" w:beforeAutospacing="0" w:after="40" w:afterAutospacing="0"/>
              <w:jc w:val="both"/>
              <w:rPr>
                <w:bCs/>
                <w:iCs/>
                <w:lang w:val="nl-NL"/>
              </w:rPr>
            </w:pPr>
            <w:r>
              <w:rPr>
                <w:bCs/>
                <w:iCs/>
              </w:rPr>
              <w:t>2</w:t>
            </w:r>
            <w:r>
              <w:rPr>
                <w:bCs/>
                <w:iCs/>
                <w:lang w:val="vi-VN"/>
              </w:rPr>
              <w:t xml:space="preserve">. Nghị quyết này bãi bỏ </w:t>
            </w:r>
            <w:r>
              <w:rPr>
                <w:bCs/>
                <w:iCs/>
                <w:lang w:val="nl-NL"/>
              </w:rPr>
              <w:t>Nghị quyết số 13/2021/NQ-HĐND ngày 19/10/2021 của HĐND tỉnh Khánh H</w:t>
            </w:r>
            <w:r>
              <w:rPr>
                <w:rFonts w:hint="default"/>
                <w:bCs/>
                <w:iCs/>
                <w:lang w:val="en-US"/>
              </w:rPr>
              <w:t>òa</w:t>
            </w:r>
            <w:r>
              <w:rPr>
                <w:bCs/>
                <w:iCs/>
                <w:lang w:val="nl-NL"/>
              </w:rPr>
              <w:t xml:space="preserve"> quy định mức thu, nộp, quản lý và sử dụng phí đăng ký giao dịch bảo đảm, phí cung cấp thông tin về giao dịch bảo đảm bằng quyền sử dụng đất và tài sản gắn liền với đất trên địa bàn tỉnh Khánh Hòa;</w:t>
            </w:r>
            <w:r>
              <w:rPr>
                <w:bCs/>
                <w:iCs/>
              </w:rPr>
              <w:t xml:space="preserve"> </w:t>
            </w:r>
            <w:r>
              <w:rPr>
                <w:bCs/>
                <w:iCs/>
                <w:lang w:val="nl-NL"/>
              </w:rPr>
              <w:t>Nghị quyết số 16/2020/NQ-HĐND ngày 10/12/2020 của HĐND tỉnh Ninh Thuận quy định mức thu, chế độ thu, nộp, quản lý và sử dụng phí đăng ký biện pháp bảo đảm trên địa bàn tỉnh Ninh Thuận</w:t>
            </w:r>
            <w:r>
              <w:rPr>
                <w:bCs/>
                <w:iCs/>
              </w:rPr>
              <w:t xml:space="preserve"> và Điều 17 của N</w:t>
            </w:r>
            <w:r>
              <w:rPr>
                <w:bCs/>
                <w:iCs/>
                <w:lang w:val="nl-NL"/>
              </w:rPr>
              <w:t>ghị quyết số 13/2020/NQ-HĐND ngày 10/12/2020 của HĐND tỉnh Ninh Thuận quy định mức thu, nộp, quản lý và sử dụng đối với các khoản phí, lệ phí trên địa bàn tỉnh Ninh Thuận.</w:t>
            </w:r>
          </w:p>
          <w:p w14:paraId="59A2CAF3">
            <w:pPr>
              <w:pStyle w:val="17"/>
              <w:spacing w:before="40" w:beforeAutospacing="0" w:after="40" w:afterAutospacing="0"/>
              <w:jc w:val="both"/>
              <w:rPr>
                <w:bCs/>
                <w:i/>
                <w:iCs/>
              </w:rPr>
            </w:pPr>
            <w:r>
              <w:rPr>
                <w:bCs/>
                <w:iCs/>
              </w:rPr>
              <w:t>3</w:t>
            </w:r>
            <w:r>
              <w:rPr>
                <w:bCs/>
                <w:iCs/>
                <w:lang w:val="vi-VN"/>
              </w:rPr>
              <w:t>. Trong quá trình thực hiện, tr</w:t>
            </w:r>
            <w:r>
              <w:rPr>
                <w:rFonts w:hint="eastAsia"/>
                <w:bCs/>
                <w:iCs/>
                <w:lang w:val="vi-VN"/>
              </w:rPr>
              <w:t>ư</w:t>
            </w:r>
            <w:r>
              <w:rPr>
                <w:bCs/>
                <w:iCs/>
                <w:lang w:val="vi-VN"/>
              </w:rPr>
              <w:t>ờng hợp các văn bản quy phạm pháp luật quy định viện dẫn tại Nghị quyết này đ</w:t>
            </w:r>
            <w:r>
              <w:rPr>
                <w:rFonts w:hint="eastAsia"/>
                <w:bCs/>
                <w:iCs/>
                <w:lang w:val="vi-VN"/>
              </w:rPr>
              <w:t>ư</w:t>
            </w:r>
            <w:r>
              <w:rPr>
                <w:bCs/>
                <w:iCs/>
                <w:lang w:val="vi-VN"/>
              </w:rPr>
              <w:t>ợc sửa đổi, bổ sung hoặc thay thế thì thực hiện theo văn bản quy phạm pháp luật mới đ</w:t>
            </w:r>
            <w:r>
              <w:rPr>
                <w:rFonts w:hint="eastAsia"/>
                <w:bCs/>
                <w:iCs/>
                <w:lang w:val="vi-VN"/>
              </w:rPr>
              <w:t>ư</w:t>
            </w:r>
            <w:r>
              <w:rPr>
                <w:bCs/>
                <w:iCs/>
                <w:lang w:val="vi-VN"/>
              </w:rPr>
              <w:t>ợc sửa đổi, bổ sung hoặc thay thế.</w:t>
            </w:r>
          </w:p>
        </w:tc>
        <w:tc>
          <w:tcPr>
            <w:tcW w:w="1551" w:type="pct"/>
            <w:vMerge w:val="continue"/>
            <w:tcBorders>
              <w:left w:val="single" w:color="auto" w:sz="4" w:space="0"/>
              <w:right w:val="single" w:color="auto" w:sz="4" w:space="0"/>
            </w:tcBorders>
            <w:shd w:val="clear" w:color="auto" w:fill="FFFFFF"/>
            <w:vAlign w:val="center"/>
          </w:tcPr>
          <w:p w14:paraId="264872DF">
            <w:pPr>
              <w:spacing w:before="40" w:after="40"/>
              <w:ind w:left="140" w:right="98"/>
              <w:jc w:val="both"/>
              <w:rPr>
                <w:sz w:val="24"/>
                <w:szCs w:val="24"/>
              </w:rPr>
            </w:pPr>
          </w:p>
        </w:tc>
      </w:tr>
      <w:tr w14:paraId="7C372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43" w:hRule="atLeast"/>
        </w:trPr>
        <w:tc>
          <w:tcPr>
            <w:tcW w:w="1807" w:type="pct"/>
            <w:tcBorders>
              <w:top w:val="single" w:color="auto" w:sz="4" w:space="0"/>
              <w:left w:val="single" w:color="auto" w:sz="4" w:space="0"/>
              <w:bottom w:val="single" w:color="auto" w:sz="4" w:space="0"/>
              <w:right w:val="single" w:color="auto" w:sz="4" w:space="0"/>
            </w:tcBorders>
            <w:shd w:val="clear" w:color="auto" w:fill="FFFFFF"/>
            <w:vAlign w:val="center"/>
          </w:tcPr>
          <w:p w14:paraId="5C1B43D5">
            <w:pPr>
              <w:pStyle w:val="17"/>
              <w:spacing w:before="40" w:beforeAutospacing="0" w:after="40" w:afterAutospacing="0"/>
              <w:jc w:val="both"/>
              <w:rPr>
                <w:bCs/>
                <w:iCs/>
                <w:lang w:val="vi-VN"/>
              </w:rPr>
            </w:pPr>
            <w:r>
              <w:rPr>
                <w:b/>
                <w:iCs/>
                <w:lang w:val="vi-VN"/>
              </w:rPr>
              <w:t>Điều 3.</w:t>
            </w:r>
            <w:r>
              <w:rPr>
                <w:bCs/>
                <w:iCs/>
                <w:lang w:val="vi-VN"/>
              </w:rPr>
              <w:t xml:space="preserve"> Tổ chức thực hiện</w:t>
            </w:r>
          </w:p>
          <w:p w14:paraId="4BFC1B4B">
            <w:pPr>
              <w:spacing w:before="40" w:after="40"/>
              <w:ind w:left="140" w:right="98"/>
              <w:jc w:val="both"/>
              <w:rPr>
                <w:b/>
                <w:sz w:val="24"/>
                <w:szCs w:val="24"/>
              </w:rPr>
            </w:pPr>
            <w:r>
              <w:rPr>
                <w:b/>
                <w:sz w:val="24"/>
                <w:szCs w:val="24"/>
              </w:rPr>
              <w:t xml:space="preserve">- Theo Nghị quyết số 13/2021/NQ-HĐND ngày 19/10/2021 của HĐND tỉnh Khánh Hòa: </w:t>
            </w:r>
          </w:p>
          <w:p w14:paraId="37D68229">
            <w:pPr>
              <w:pStyle w:val="17"/>
              <w:spacing w:before="40" w:beforeAutospacing="0" w:after="40" w:afterAutospacing="0"/>
              <w:jc w:val="both"/>
              <w:rPr>
                <w:bCs/>
                <w:iCs/>
                <w:lang w:val="nl-NL"/>
              </w:rPr>
            </w:pPr>
            <w:r>
              <w:rPr>
                <w:bCs/>
                <w:iCs/>
                <w:lang w:val="nl-NL"/>
              </w:rPr>
              <w:t>Điều 2. Tổ chức thực hiện</w:t>
            </w:r>
          </w:p>
          <w:p w14:paraId="7E23791D">
            <w:pPr>
              <w:pStyle w:val="17"/>
              <w:spacing w:before="40" w:beforeAutospacing="0" w:after="40" w:afterAutospacing="0"/>
              <w:jc w:val="both"/>
              <w:rPr>
                <w:bCs/>
                <w:iCs/>
                <w:lang w:val="nl-NL"/>
              </w:rPr>
            </w:pPr>
            <w:r>
              <w:rPr>
                <w:bCs/>
                <w:iCs/>
                <w:lang w:val="nl-NL"/>
              </w:rPr>
              <w:t>2. Giao Ủy ban nhân dân tỉnh tổ chức triển khai thực hiện Nghị quyết này.</w:t>
            </w:r>
          </w:p>
          <w:p w14:paraId="6F26DA64">
            <w:pPr>
              <w:pStyle w:val="17"/>
              <w:spacing w:before="40" w:beforeAutospacing="0" w:after="40" w:afterAutospacing="0"/>
              <w:jc w:val="both"/>
              <w:rPr>
                <w:bCs/>
                <w:iCs/>
                <w:lang w:val="nl-NL"/>
              </w:rPr>
            </w:pPr>
            <w:r>
              <w:rPr>
                <w:bCs/>
                <w:iCs/>
                <w:lang w:val="nl-NL"/>
              </w:rPr>
              <w:t>3. Giao Thường trực Hội đồng nhân dân tỉnh, các Ban của Hội đồng nhân dân tỉnh, các Tổ đại biểu Hội đồng nhân dân tỉnh và các đại biểu Hội đồng nhân dân tỉnh giám sát việc thực hiện Nghị quyết này.</w:t>
            </w:r>
          </w:p>
          <w:p w14:paraId="0427F9C4">
            <w:pPr>
              <w:pStyle w:val="17"/>
              <w:spacing w:before="40" w:beforeAutospacing="0" w:after="40" w:afterAutospacing="0"/>
              <w:jc w:val="both"/>
              <w:rPr>
                <w:bCs/>
                <w:iCs/>
                <w:lang w:val="vi-VN"/>
              </w:rPr>
            </w:pPr>
          </w:p>
          <w:p w14:paraId="7FF1E320">
            <w:pPr>
              <w:pStyle w:val="17"/>
              <w:spacing w:before="40" w:beforeAutospacing="0" w:after="40" w:afterAutospacing="0"/>
              <w:jc w:val="both"/>
              <w:rPr>
                <w:bCs/>
                <w:iCs/>
                <w:lang w:val="vi-VN"/>
              </w:rPr>
            </w:pPr>
          </w:p>
          <w:p w14:paraId="56F623E9">
            <w:pPr>
              <w:spacing w:before="40" w:after="40"/>
              <w:ind w:left="140" w:right="98"/>
              <w:jc w:val="both"/>
              <w:rPr>
                <w:b/>
                <w:sz w:val="24"/>
                <w:szCs w:val="24"/>
              </w:rPr>
            </w:pPr>
            <w:r>
              <w:rPr>
                <w:b/>
                <w:sz w:val="24"/>
                <w:szCs w:val="24"/>
              </w:rPr>
              <w:t>- Theo Nghị quyết số 16/2020/NQ-HĐND ngày 10/12/2020 của HĐND tỉnh Ninh Thuận:</w:t>
            </w:r>
          </w:p>
          <w:p w14:paraId="00045889">
            <w:pPr>
              <w:pStyle w:val="17"/>
              <w:spacing w:before="40" w:beforeAutospacing="0" w:after="40" w:afterAutospacing="0"/>
              <w:jc w:val="both"/>
              <w:rPr>
                <w:bCs/>
                <w:iCs/>
                <w:lang w:val="nl-NL"/>
              </w:rPr>
            </w:pPr>
            <w:r>
              <w:rPr>
                <w:bCs/>
                <w:iCs/>
              </w:rPr>
              <w:t>Điều 3. Tổ chức thực hiện</w:t>
            </w:r>
          </w:p>
          <w:p w14:paraId="2D5736C5">
            <w:pPr>
              <w:pStyle w:val="17"/>
              <w:spacing w:before="40" w:beforeAutospacing="0" w:after="40" w:afterAutospacing="0"/>
              <w:jc w:val="both"/>
              <w:rPr>
                <w:bCs/>
                <w:iCs/>
                <w:lang w:val="nl-NL"/>
              </w:rPr>
            </w:pPr>
            <w:r>
              <w:rPr>
                <w:bCs/>
                <w:iCs/>
              </w:rPr>
              <w:t>1. Giao Ủy ban nhân dân tỉnh Ninh Thuận căn cứ nhiệm vụ, quyền hạn triển khai thực hiện Nghị quyết theo quy định của pháp luật.</w:t>
            </w:r>
          </w:p>
          <w:p w14:paraId="415FB35B">
            <w:pPr>
              <w:pStyle w:val="17"/>
              <w:spacing w:before="40" w:beforeAutospacing="0" w:after="40" w:afterAutospacing="0"/>
              <w:jc w:val="both"/>
              <w:rPr>
                <w:bCs/>
                <w:iCs/>
                <w:lang w:val="nl-NL"/>
              </w:rPr>
            </w:pPr>
            <w:r>
              <w:rPr>
                <w:bCs/>
                <w:iCs/>
              </w:rPr>
              <w:t>2. Giao Thường trực HĐND, các Ban HĐND, Tổ đại biểu HĐND và đại biểu HĐND tỉnh giám sát việc thực hiện Nghị quyết.</w:t>
            </w:r>
          </w:p>
          <w:p w14:paraId="1CCCD73B">
            <w:pPr>
              <w:pStyle w:val="17"/>
              <w:spacing w:before="40" w:beforeAutospacing="0" w:after="40" w:afterAutospacing="0"/>
              <w:jc w:val="both"/>
              <w:rPr>
                <w:bCs/>
                <w:iCs/>
                <w:lang w:val="nl-NL"/>
              </w:rPr>
            </w:pPr>
            <w:r>
              <w:rPr>
                <w:bCs/>
                <w:iCs/>
              </w:rPr>
              <w:t>3. Trong quá trình thực hiện, trường hợp các văn bản quy phạm pháp luật quy định viện dẫn tại Nghị quyết này được sửa đổi, bổ sung hoặc thay thế thì thực hiện theo văn bản quy phạm pháp luật mới được sửa đổi, bổ sung hoặc thay thế.</w:t>
            </w:r>
          </w:p>
          <w:p w14:paraId="44D0B45E">
            <w:pPr>
              <w:spacing w:before="40" w:after="40"/>
              <w:ind w:left="140" w:right="98"/>
              <w:jc w:val="both"/>
            </w:pPr>
          </w:p>
        </w:tc>
        <w:tc>
          <w:tcPr>
            <w:tcW w:w="1641" w:type="pct"/>
            <w:tcBorders>
              <w:top w:val="single" w:color="auto" w:sz="4" w:space="0"/>
              <w:left w:val="single" w:color="auto" w:sz="4" w:space="0"/>
              <w:bottom w:val="single" w:color="auto" w:sz="4" w:space="0"/>
              <w:right w:val="single" w:color="auto" w:sz="4" w:space="0"/>
            </w:tcBorders>
            <w:shd w:val="clear" w:color="auto" w:fill="FFFFFF"/>
            <w:vAlign w:val="center"/>
          </w:tcPr>
          <w:p w14:paraId="65917391">
            <w:pPr>
              <w:pStyle w:val="17"/>
              <w:spacing w:before="40" w:beforeAutospacing="0" w:after="40" w:afterAutospacing="0"/>
              <w:jc w:val="both"/>
              <w:rPr>
                <w:bCs/>
                <w:iCs/>
                <w:lang w:val="vi-VN"/>
              </w:rPr>
            </w:pPr>
            <w:r>
              <w:rPr>
                <w:b/>
                <w:iCs/>
                <w:lang w:val="vi-VN"/>
              </w:rPr>
              <w:t>Điều 3.</w:t>
            </w:r>
            <w:r>
              <w:rPr>
                <w:bCs/>
                <w:iCs/>
                <w:lang w:val="vi-VN"/>
              </w:rPr>
              <w:t xml:space="preserve"> Tổ chức thực hiện</w:t>
            </w:r>
          </w:p>
          <w:p w14:paraId="052FC208">
            <w:pPr>
              <w:pStyle w:val="17"/>
              <w:spacing w:before="40" w:beforeAutospacing="0" w:after="40" w:afterAutospacing="0"/>
              <w:jc w:val="both"/>
              <w:rPr>
                <w:bCs/>
                <w:iCs/>
                <w:lang w:val="vi-VN"/>
              </w:rPr>
            </w:pPr>
            <w:r>
              <w:rPr>
                <w:bCs/>
                <w:iCs/>
                <w:lang w:val="vi-VN"/>
              </w:rPr>
              <w:t>1. Giao Ủy ban nhân dân tỉnh tổ chức triển khai thực hiện Nghị quyết.</w:t>
            </w:r>
          </w:p>
          <w:p w14:paraId="7B1FAABB">
            <w:pPr>
              <w:pStyle w:val="17"/>
              <w:spacing w:before="40" w:beforeAutospacing="0" w:after="40" w:afterAutospacing="0"/>
              <w:jc w:val="both"/>
              <w:rPr>
                <w:bCs/>
                <w:iCs/>
                <w:lang w:val="vi-VN"/>
              </w:rPr>
            </w:pPr>
            <w:r>
              <w:rPr>
                <w:bCs/>
                <w:iCs/>
                <w:lang w:val="vi-VN"/>
              </w:rPr>
              <w:t xml:space="preserve">2. Giao Thường trực Hội đồng nhân dân tỉnh, các Ban Hội đồng nhân dân tỉnh, các Tổ Đại biểu Hội đồng nhân dân tỉnh và các đại biểu Hội đồng nhân dân tỉnh giám sát việc thực hiện Nghị quyết này. </w:t>
            </w:r>
          </w:p>
          <w:p w14:paraId="2CF728BC">
            <w:pPr>
              <w:pStyle w:val="17"/>
              <w:spacing w:before="40" w:beforeAutospacing="0" w:after="40" w:afterAutospacing="0"/>
              <w:jc w:val="both"/>
              <w:rPr>
                <w:bCs/>
                <w:iCs/>
                <w:lang w:val="vi-VN"/>
              </w:rPr>
            </w:pPr>
            <w:r>
              <w:rPr>
                <w:bCs/>
                <w:iCs/>
                <w:lang w:val="vi-VN"/>
              </w:rPr>
              <w:t>3. Đề nghị Ủy ban Mặt trận Tổ quốc Việt Nam tỉnh, các tổ chức thành viên giám sát và vận động Nhân dân cùng tham gia thực hiện và giám sát Nghị quyết này; phản ánh kịp thời tâm tư, nguyện vọng và kiến nghị của Nhân dân đến các cơ quan có thẩm quyền theo quy định của pháp luật.</w:t>
            </w:r>
          </w:p>
          <w:p w14:paraId="1AE1B924">
            <w:pPr>
              <w:pStyle w:val="17"/>
              <w:spacing w:before="40" w:beforeAutospacing="0" w:after="40" w:afterAutospacing="0"/>
              <w:jc w:val="both"/>
              <w:rPr>
                <w:bCs/>
                <w:iCs/>
              </w:rPr>
            </w:pPr>
          </w:p>
        </w:tc>
        <w:tc>
          <w:tcPr>
            <w:tcW w:w="1551" w:type="pct"/>
            <w:vMerge w:val="continue"/>
            <w:tcBorders>
              <w:left w:val="single" w:color="auto" w:sz="4" w:space="0"/>
              <w:right w:val="single" w:color="auto" w:sz="4" w:space="0"/>
            </w:tcBorders>
            <w:shd w:val="clear" w:color="auto" w:fill="FFFFFF"/>
            <w:vAlign w:val="center"/>
          </w:tcPr>
          <w:p w14:paraId="48BC8A85">
            <w:pPr>
              <w:spacing w:before="40" w:after="40"/>
              <w:ind w:left="140" w:right="98"/>
              <w:jc w:val="both"/>
              <w:rPr>
                <w:sz w:val="24"/>
                <w:szCs w:val="24"/>
              </w:rPr>
            </w:pPr>
          </w:p>
        </w:tc>
      </w:tr>
      <w:bookmarkEnd w:id="0"/>
    </w:tbl>
    <w:p w14:paraId="099E42EB">
      <w:pPr>
        <w:tabs>
          <w:tab w:val="left" w:pos="5415"/>
        </w:tabs>
        <w:jc w:val="left"/>
        <w:rPr>
          <w:sz w:val="24"/>
          <w:szCs w:val="24"/>
          <w:lang w:val="fr-FR"/>
        </w:rPr>
      </w:pPr>
    </w:p>
    <w:sectPr>
      <w:footerReference r:id="rId6" w:type="first"/>
      <w:headerReference r:id="rId3" w:type="default"/>
      <w:footerReference r:id="rId4" w:type="default"/>
      <w:footerReference r:id="rId5" w:type="even"/>
      <w:pgSz w:w="16840" w:h="11907" w:orient="landscape"/>
      <w:pgMar w:top="964" w:right="964" w:bottom="964" w:left="1134" w:header="567" w:footer="510"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00"/>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nTime">
    <w:altName w:val="Times New Roman"/>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ED465">
    <w:pPr>
      <w:spacing w:line="276" w:lineRule="auto"/>
      <w:jc w:val="both"/>
    </w:pPr>
    <w:r>
      <w:rPr>
        <w:rFonts w:eastAsia="Times New Roman"/>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B5BF1">
    <w:pPr>
      <w:pStyle w:val="16"/>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2</w:t>
    </w:r>
    <w:r>
      <w:rPr>
        <w:rStyle w:val="9"/>
      </w:rPr>
      <w:fldChar w:fldCharType="end"/>
    </w:r>
  </w:p>
  <w:p w14:paraId="3F0D1915">
    <w:pPr>
      <w:pStyle w:val="1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DF0FD">
    <w:pPr>
      <w:pStyle w:val="16"/>
    </w:pP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93157">
    <w:pPr>
      <w:pStyle w:val="13"/>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sz w:val="26"/>
        <w:szCs w:val="26"/>
      </w:rPr>
      <w:t>10</w:t>
    </w:r>
    <w:r>
      <w:rPr>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796A4B"/>
    <w:multiLevelType w:val="multilevel"/>
    <w:tmpl w:val="0E796A4B"/>
    <w:lvl w:ilvl="0" w:tentative="0">
      <w:start w:val="1"/>
      <w:numFmt w:val="decimal"/>
      <w:lvlText w:val="%1."/>
      <w:lvlJc w:val="left"/>
      <w:pPr>
        <w:ind w:left="690" w:hanging="360"/>
      </w:pPr>
      <w:rPr>
        <w:rFonts w:hint="default"/>
      </w:rPr>
    </w:lvl>
    <w:lvl w:ilvl="1" w:tentative="0">
      <w:start w:val="1"/>
      <w:numFmt w:val="lowerLetter"/>
      <w:lvlText w:val="%2."/>
      <w:lvlJc w:val="left"/>
      <w:pPr>
        <w:ind w:left="1410" w:hanging="360"/>
      </w:pPr>
    </w:lvl>
    <w:lvl w:ilvl="2" w:tentative="0">
      <w:start w:val="1"/>
      <w:numFmt w:val="lowerRoman"/>
      <w:lvlText w:val="%3."/>
      <w:lvlJc w:val="right"/>
      <w:pPr>
        <w:ind w:left="2130" w:hanging="180"/>
      </w:pPr>
    </w:lvl>
    <w:lvl w:ilvl="3" w:tentative="0">
      <w:start w:val="1"/>
      <w:numFmt w:val="decimal"/>
      <w:lvlText w:val="%4."/>
      <w:lvlJc w:val="left"/>
      <w:pPr>
        <w:ind w:left="2850" w:hanging="360"/>
      </w:pPr>
    </w:lvl>
    <w:lvl w:ilvl="4" w:tentative="0">
      <w:start w:val="1"/>
      <w:numFmt w:val="lowerLetter"/>
      <w:lvlText w:val="%5."/>
      <w:lvlJc w:val="left"/>
      <w:pPr>
        <w:ind w:left="3570" w:hanging="360"/>
      </w:pPr>
    </w:lvl>
    <w:lvl w:ilvl="5" w:tentative="0">
      <w:start w:val="1"/>
      <w:numFmt w:val="lowerRoman"/>
      <w:lvlText w:val="%6."/>
      <w:lvlJc w:val="right"/>
      <w:pPr>
        <w:ind w:left="4290" w:hanging="180"/>
      </w:pPr>
    </w:lvl>
    <w:lvl w:ilvl="6" w:tentative="0">
      <w:start w:val="1"/>
      <w:numFmt w:val="decimal"/>
      <w:lvlText w:val="%7."/>
      <w:lvlJc w:val="left"/>
      <w:pPr>
        <w:ind w:left="5010" w:hanging="360"/>
      </w:pPr>
    </w:lvl>
    <w:lvl w:ilvl="7" w:tentative="0">
      <w:start w:val="1"/>
      <w:numFmt w:val="lowerLetter"/>
      <w:lvlText w:val="%8."/>
      <w:lvlJc w:val="left"/>
      <w:pPr>
        <w:ind w:left="5730" w:hanging="360"/>
      </w:pPr>
    </w:lvl>
    <w:lvl w:ilvl="8" w:tentative="0">
      <w:start w:val="1"/>
      <w:numFmt w:val="lowerRoman"/>
      <w:lvlText w:val="%9."/>
      <w:lvlJc w:val="right"/>
      <w:pPr>
        <w:ind w:left="6450" w:hanging="180"/>
      </w:pPr>
    </w:lvl>
  </w:abstractNum>
  <w:abstractNum w:abstractNumId="1">
    <w:nsid w:val="35D709CC"/>
    <w:multiLevelType w:val="singleLevel"/>
    <w:tmpl w:val="35D709CC"/>
    <w:lvl w:ilvl="0" w:tentative="0">
      <w:start w:val="4"/>
      <w:numFmt w:val="decimal"/>
      <w:suff w:val="space"/>
      <w:lvlText w:val="%1."/>
      <w:lvlJc w:val="left"/>
    </w:lvl>
  </w:abstractNum>
  <w:abstractNum w:abstractNumId="2">
    <w:nsid w:val="6C4A1F86"/>
    <w:multiLevelType w:val="multilevel"/>
    <w:tmpl w:val="6C4A1F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738"/>
    <w:rsid w:val="0000249A"/>
    <w:rsid w:val="0000402B"/>
    <w:rsid w:val="00013DAE"/>
    <w:rsid w:val="00021DC7"/>
    <w:rsid w:val="000321A8"/>
    <w:rsid w:val="0003467C"/>
    <w:rsid w:val="00036814"/>
    <w:rsid w:val="00040032"/>
    <w:rsid w:val="00042F0C"/>
    <w:rsid w:val="00044AA2"/>
    <w:rsid w:val="00053263"/>
    <w:rsid w:val="000753D0"/>
    <w:rsid w:val="00076D5A"/>
    <w:rsid w:val="0008545F"/>
    <w:rsid w:val="00090237"/>
    <w:rsid w:val="00094DB1"/>
    <w:rsid w:val="0009568C"/>
    <w:rsid w:val="00096D45"/>
    <w:rsid w:val="000A30F7"/>
    <w:rsid w:val="000A3350"/>
    <w:rsid w:val="000A3484"/>
    <w:rsid w:val="000B14FA"/>
    <w:rsid w:val="000C534E"/>
    <w:rsid w:val="000D219D"/>
    <w:rsid w:val="000E06FB"/>
    <w:rsid w:val="000F78BB"/>
    <w:rsid w:val="00100B6C"/>
    <w:rsid w:val="001034E1"/>
    <w:rsid w:val="001069FF"/>
    <w:rsid w:val="00107C22"/>
    <w:rsid w:val="00116C7F"/>
    <w:rsid w:val="001262C0"/>
    <w:rsid w:val="00137F91"/>
    <w:rsid w:val="001405FC"/>
    <w:rsid w:val="00142381"/>
    <w:rsid w:val="00152B6C"/>
    <w:rsid w:val="0015423C"/>
    <w:rsid w:val="001653D4"/>
    <w:rsid w:val="00180F41"/>
    <w:rsid w:val="0019317C"/>
    <w:rsid w:val="00196423"/>
    <w:rsid w:val="001A25E9"/>
    <w:rsid w:val="001B2488"/>
    <w:rsid w:val="001B62A5"/>
    <w:rsid w:val="001C0ED5"/>
    <w:rsid w:val="001C106F"/>
    <w:rsid w:val="001C300B"/>
    <w:rsid w:val="001C52D3"/>
    <w:rsid w:val="001C75F1"/>
    <w:rsid w:val="001C7B74"/>
    <w:rsid w:val="001D24B7"/>
    <w:rsid w:val="001D4E5E"/>
    <w:rsid w:val="001E16DA"/>
    <w:rsid w:val="001E35DC"/>
    <w:rsid w:val="001E5D3B"/>
    <w:rsid w:val="00200668"/>
    <w:rsid w:val="00202B04"/>
    <w:rsid w:val="0020651B"/>
    <w:rsid w:val="00207B30"/>
    <w:rsid w:val="00211014"/>
    <w:rsid w:val="002125CD"/>
    <w:rsid w:val="00215215"/>
    <w:rsid w:val="00227DAC"/>
    <w:rsid w:val="00234E66"/>
    <w:rsid w:val="00240FE8"/>
    <w:rsid w:val="0024629F"/>
    <w:rsid w:val="00246A9E"/>
    <w:rsid w:val="00256AB9"/>
    <w:rsid w:val="00280D82"/>
    <w:rsid w:val="0029052D"/>
    <w:rsid w:val="00292A2F"/>
    <w:rsid w:val="00292C76"/>
    <w:rsid w:val="00293C04"/>
    <w:rsid w:val="002A0717"/>
    <w:rsid w:val="002A0A5F"/>
    <w:rsid w:val="002A287A"/>
    <w:rsid w:val="002A484C"/>
    <w:rsid w:val="002A65AE"/>
    <w:rsid w:val="002B6C6B"/>
    <w:rsid w:val="002C01BB"/>
    <w:rsid w:val="002C3845"/>
    <w:rsid w:val="002C3BBA"/>
    <w:rsid w:val="002C4939"/>
    <w:rsid w:val="002D36A0"/>
    <w:rsid w:val="002D3A6B"/>
    <w:rsid w:val="002D41CD"/>
    <w:rsid w:val="002D722E"/>
    <w:rsid w:val="00305103"/>
    <w:rsid w:val="0030648C"/>
    <w:rsid w:val="00321897"/>
    <w:rsid w:val="0032403D"/>
    <w:rsid w:val="0033653B"/>
    <w:rsid w:val="00341258"/>
    <w:rsid w:val="003448E0"/>
    <w:rsid w:val="00344D09"/>
    <w:rsid w:val="003527A0"/>
    <w:rsid w:val="003560A2"/>
    <w:rsid w:val="003615E7"/>
    <w:rsid w:val="0037278B"/>
    <w:rsid w:val="00384413"/>
    <w:rsid w:val="003854B1"/>
    <w:rsid w:val="00391F72"/>
    <w:rsid w:val="003959CB"/>
    <w:rsid w:val="00397908"/>
    <w:rsid w:val="003A23B8"/>
    <w:rsid w:val="003A3CD8"/>
    <w:rsid w:val="003B1D8A"/>
    <w:rsid w:val="003B51C9"/>
    <w:rsid w:val="003C2EC3"/>
    <w:rsid w:val="003C58F0"/>
    <w:rsid w:val="003C769C"/>
    <w:rsid w:val="003D1422"/>
    <w:rsid w:val="003D3DD2"/>
    <w:rsid w:val="003D612C"/>
    <w:rsid w:val="003D7BA5"/>
    <w:rsid w:val="003E2B97"/>
    <w:rsid w:val="003F6F31"/>
    <w:rsid w:val="004007A9"/>
    <w:rsid w:val="004048B7"/>
    <w:rsid w:val="00410D31"/>
    <w:rsid w:val="00411110"/>
    <w:rsid w:val="00411319"/>
    <w:rsid w:val="004237ED"/>
    <w:rsid w:val="004407A2"/>
    <w:rsid w:val="004645CA"/>
    <w:rsid w:val="00467F03"/>
    <w:rsid w:val="0047491E"/>
    <w:rsid w:val="00474EDB"/>
    <w:rsid w:val="00481B2B"/>
    <w:rsid w:val="004A0839"/>
    <w:rsid w:val="004A18FC"/>
    <w:rsid w:val="004A47C9"/>
    <w:rsid w:val="004B2815"/>
    <w:rsid w:val="004B442F"/>
    <w:rsid w:val="004B67FC"/>
    <w:rsid w:val="004C4223"/>
    <w:rsid w:val="004E09BE"/>
    <w:rsid w:val="004E338F"/>
    <w:rsid w:val="004E3BDE"/>
    <w:rsid w:val="004E7D2D"/>
    <w:rsid w:val="004F137D"/>
    <w:rsid w:val="00501DB6"/>
    <w:rsid w:val="00511602"/>
    <w:rsid w:val="005141FE"/>
    <w:rsid w:val="005162FB"/>
    <w:rsid w:val="00547874"/>
    <w:rsid w:val="00550FBE"/>
    <w:rsid w:val="005525D1"/>
    <w:rsid w:val="00553193"/>
    <w:rsid w:val="00553583"/>
    <w:rsid w:val="0056386F"/>
    <w:rsid w:val="00572A03"/>
    <w:rsid w:val="00574FAD"/>
    <w:rsid w:val="00575B0F"/>
    <w:rsid w:val="005802F2"/>
    <w:rsid w:val="00581466"/>
    <w:rsid w:val="00581E92"/>
    <w:rsid w:val="0058712A"/>
    <w:rsid w:val="005941AD"/>
    <w:rsid w:val="00596A81"/>
    <w:rsid w:val="00597B01"/>
    <w:rsid w:val="005A366C"/>
    <w:rsid w:val="005A7538"/>
    <w:rsid w:val="005B04F3"/>
    <w:rsid w:val="005B76CA"/>
    <w:rsid w:val="005B76FF"/>
    <w:rsid w:val="005C055D"/>
    <w:rsid w:val="005C423D"/>
    <w:rsid w:val="005C6F8B"/>
    <w:rsid w:val="005C750B"/>
    <w:rsid w:val="005D545A"/>
    <w:rsid w:val="005F4A1F"/>
    <w:rsid w:val="00602568"/>
    <w:rsid w:val="00604B55"/>
    <w:rsid w:val="00611F7F"/>
    <w:rsid w:val="00615BAC"/>
    <w:rsid w:val="0062201C"/>
    <w:rsid w:val="006235D3"/>
    <w:rsid w:val="006244C0"/>
    <w:rsid w:val="006362A5"/>
    <w:rsid w:val="00646D68"/>
    <w:rsid w:val="00662D12"/>
    <w:rsid w:val="0066411E"/>
    <w:rsid w:val="00672FE9"/>
    <w:rsid w:val="00677C7C"/>
    <w:rsid w:val="0068342E"/>
    <w:rsid w:val="00691D29"/>
    <w:rsid w:val="006946EC"/>
    <w:rsid w:val="00694D44"/>
    <w:rsid w:val="00696859"/>
    <w:rsid w:val="006A39D3"/>
    <w:rsid w:val="006A4C35"/>
    <w:rsid w:val="006A76A1"/>
    <w:rsid w:val="006B1BD0"/>
    <w:rsid w:val="006C2CF8"/>
    <w:rsid w:val="006C68CD"/>
    <w:rsid w:val="006D5909"/>
    <w:rsid w:val="006D6A7F"/>
    <w:rsid w:val="006E1C53"/>
    <w:rsid w:val="006E3F98"/>
    <w:rsid w:val="006E6389"/>
    <w:rsid w:val="006F4068"/>
    <w:rsid w:val="006F5389"/>
    <w:rsid w:val="00700597"/>
    <w:rsid w:val="0070135B"/>
    <w:rsid w:val="007057CB"/>
    <w:rsid w:val="007069EE"/>
    <w:rsid w:val="007072E8"/>
    <w:rsid w:val="007127F2"/>
    <w:rsid w:val="007129D5"/>
    <w:rsid w:val="00724AC2"/>
    <w:rsid w:val="0072666E"/>
    <w:rsid w:val="00735341"/>
    <w:rsid w:val="007364C2"/>
    <w:rsid w:val="00740047"/>
    <w:rsid w:val="00743A75"/>
    <w:rsid w:val="00745C7D"/>
    <w:rsid w:val="0075000B"/>
    <w:rsid w:val="007545E1"/>
    <w:rsid w:val="007929BB"/>
    <w:rsid w:val="007948E9"/>
    <w:rsid w:val="007A751D"/>
    <w:rsid w:val="007B1FDE"/>
    <w:rsid w:val="007B256A"/>
    <w:rsid w:val="007C6757"/>
    <w:rsid w:val="007D7A3C"/>
    <w:rsid w:val="007E1A5D"/>
    <w:rsid w:val="007E3E82"/>
    <w:rsid w:val="007F0AD2"/>
    <w:rsid w:val="007F40DE"/>
    <w:rsid w:val="007F644C"/>
    <w:rsid w:val="0081410F"/>
    <w:rsid w:val="00817C04"/>
    <w:rsid w:val="00825B9C"/>
    <w:rsid w:val="0082750B"/>
    <w:rsid w:val="00827575"/>
    <w:rsid w:val="00833B8F"/>
    <w:rsid w:val="00844202"/>
    <w:rsid w:val="00856BFA"/>
    <w:rsid w:val="00860DC7"/>
    <w:rsid w:val="008626F2"/>
    <w:rsid w:val="00865191"/>
    <w:rsid w:val="008667F2"/>
    <w:rsid w:val="00871386"/>
    <w:rsid w:val="00875FE1"/>
    <w:rsid w:val="00880719"/>
    <w:rsid w:val="008933A0"/>
    <w:rsid w:val="00893537"/>
    <w:rsid w:val="00896104"/>
    <w:rsid w:val="00896CFD"/>
    <w:rsid w:val="00896FF3"/>
    <w:rsid w:val="008B22AD"/>
    <w:rsid w:val="008B38FF"/>
    <w:rsid w:val="008B5383"/>
    <w:rsid w:val="008D3CB4"/>
    <w:rsid w:val="008D4254"/>
    <w:rsid w:val="008E2AEC"/>
    <w:rsid w:val="008E65F7"/>
    <w:rsid w:val="008E711E"/>
    <w:rsid w:val="008F3334"/>
    <w:rsid w:val="008F3C92"/>
    <w:rsid w:val="008F559F"/>
    <w:rsid w:val="0090341C"/>
    <w:rsid w:val="00904EBD"/>
    <w:rsid w:val="009069A2"/>
    <w:rsid w:val="00917CAD"/>
    <w:rsid w:val="00923F9F"/>
    <w:rsid w:val="00925F7A"/>
    <w:rsid w:val="00935D5C"/>
    <w:rsid w:val="009426BD"/>
    <w:rsid w:val="00946156"/>
    <w:rsid w:val="00946CA0"/>
    <w:rsid w:val="00963B49"/>
    <w:rsid w:val="0096528B"/>
    <w:rsid w:val="00972504"/>
    <w:rsid w:val="00972542"/>
    <w:rsid w:val="009751E0"/>
    <w:rsid w:val="00985AB2"/>
    <w:rsid w:val="009A1439"/>
    <w:rsid w:val="009A173F"/>
    <w:rsid w:val="009A5542"/>
    <w:rsid w:val="009B25EA"/>
    <w:rsid w:val="009B7945"/>
    <w:rsid w:val="009B7E77"/>
    <w:rsid w:val="009C22FC"/>
    <w:rsid w:val="009C40BB"/>
    <w:rsid w:val="009E73FE"/>
    <w:rsid w:val="009E7BC9"/>
    <w:rsid w:val="009F0164"/>
    <w:rsid w:val="009F3BA4"/>
    <w:rsid w:val="00A0218E"/>
    <w:rsid w:val="00A054B1"/>
    <w:rsid w:val="00A10D35"/>
    <w:rsid w:val="00A1733A"/>
    <w:rsid w:val="00A17A82"/>
    <w:rsid w:val="00A237F7"/>
    <w:rsid w:val="00A350E5"/>
    <w:rsid w:val="00A43948"/>
    <w:rsid w:val="00A46019"/>
    <w:rsid w:val="00A460B8"/>
    <w:rsid w:val="00A505D8"/>
    <w:rsid w:val="00A517F0"/>
    <w:rsid w:val="00A52AB3"/>
    <w:rsid w:val="00A570FF"/>
    <w:rsid w:val="00A61C9F"/>
    <w:rsid w:val="00A61DB9"/>
    <w:rsid w:val="00A64C92"/>
    <w:rsid w:val="00A7033B"/>
    <w:rsid w:val="00A87C1A"/>
    <w:rsid w:val="00A90732"/>
    <w:rsid w:val="00A922A6"/>
    <w:rsid w:val="00A93112"/>
    <w:rsid w:val="00AB0C15"/>
    <w:rsid w:val="00AB5795"/>
    <w:rsid w:val="00AB7FF6"/>
    <w:rsid w:val="00AC0738"/>
    <w:rsid w:val="00AC4E38"/>
    <w:rsid w:val="00AE1EF3"/>
    <w:rsid w:val="00AF5D73"/>
    <w:rsid w:val="00B07672"/>
    <w:rsid w:val="00B11E1B"/>
    <w:rsid w:val="00B23514"/>
    <w:rsid w:val="00B25488"/>
    <w:rsid w:val="00B32C1C"/>
    <w:rsid w:val="00B4285F"/>
    <w:rsid w:val="00B52BCC"/>
    <w:rsid w:val="00B63307"/>
    <w:rsid w:val="00B6611E"/>
    <w:rsid w:val="00B734AC"/>
    <w:rsid w:val="00B74AAF"/>
    <w:rsid w:val="00B74AF8"/>
    <w:rsid w:val="00B74FD9"/>
    <w:rsid w:val="00B826F9"/>
    <w:rsid w:val="00B9094E"/>
    <w:rsid w:val="00B93646"/>
    <w:rsid w:val="00B95417"/>
    <w:rsid w:val="00B970C3"/>
    <w:rsid w:val="00BA0A6A"/>
    <w:rsid w:val="00BB0F03"/>
    <w:rsid w:val="00BB343A"/>
    <w:rsid w:val="00BB5EF1"/>
    <w:rsid w:val="00BC252A"/>
    <w:rsid w:val="00BC2B80"/>
    <w:rsid w:val="00BE293C"/>
    <w:rsid w:val="00BE746D"/>
    <w:rsid w:val="00BF35CD"/>
    <w:rsid w:val="00BF791A"/>
    <w:rsid w:val="00C00D5C"/>
    <w:rsid w:val="00C00E77"/>
    <w:rsid w:val="00C01852"/>
    <w:rsid w:val="00C04F5A"/>
    <w:rsid w:val="00C05732"/>
    <w:rsid w:val="00C069D6"/>
    <w:rsid w:val="00C124A7"/>
    <w:rsid w:val="00C15B4E"/>
    <w:rsid w:val="00C24CF2"/>
    <w:rsid w:val="00C34ED9"/>
    <w:rsid w:val="00C359B0"/>
    <w:rsid w:val="00C35EC3"/>
    <w:rsid w:val="00C43ABB"/>
    <w:rsid w:val="00C460A0"/>
    <w:rsid w:val="00C51C24"/>
    <w:rsid w:val="00C53A7D"/>
    <w:rsid w:val="00C61518"/>
    <w:rsid w:val="00C6560C"/>
    <w:rsid w:val="00C67F82"/>
    <w:rsid w:val="00C7382F"/>
    <w:rsid w:val="00C8301E"/>
    <w:rsid w:val="00C92FEA"/>
    <w:rsid w:val="00C94C8F"/>
    <w:rsid w:val="00CA2F60"/>
    <w:rsid w:val="00CB5976"/>
    <w:rsid w:val="00CB5985"/>
    <w:rsid w:val="00CB62D6"/>
    <w:rsid w:val="00CB7082"/>
    <w:rsid w:val="00CC1321"/>
    <w:rsid w:val="00CD4055"/>
    <w:rsid w:val="00CD642A"/>
    <w:rsid w:val="00CD6A33"/>
    <w:rsid w:val="00CD755D"/>
    <w:rsid w:val="00CE5BF3"/>
    <w:rsid w:val="00CF263A"/>
    <w:rsid w:val="00CF2E50"/>
    <w:rsid w:val="00CF65E8"/>
    <w:rsid w:val="00D0346B"/>
    <w:rsid w:val="00D21B4D"/>
    <w:rsid w:val="00D22D13"/>
    <w:rsid w:val="00D30662"/>
    <w:rsid w:val="00D33EE3"/>
    <w:rsid w:val="00D362A4"/>
    <w:rsid w:val="00D44BDE"/>
    <w:rsid w:val="00D450D1"/>
    <w:rsid w:val="00D465DE"/>
    <w:rsid w:val="00D50678"/>
    <w:rsid w:val="00D53CF1"/>
    <w:rsid w:val="00D70F88"/>
    <w:rsid w:val="00D82305"/>
    <w:rsid w:val="00D87F5E"/>
    <w:rsid w:val="00D94C35"/>
    <w:rsid w:val="00DA0A13"/>
    <w:rsid w:val="00DA761B"/>
    <w:rsid w:val="00DA7C35"/>
    <w:rsid w:val="00DB2BAF"/>
    <w:rsid w:val="00DC13B5"/>
    <w:rsid w:val="00DC5952"/>
    <w:rsid w:val="00DC758E"/>
    <w:rsid w:val="00DD5557"/>
    <w:rsid w:val="00DD695F"/>
    <w:rsid w:val="00DD6E05"/>
    <w:rsid w:val="00DD7A69"/>
    <w:rsid w:val="00DE2A8D"/>
    <w:rsid w:val="00E02236"/>
    <w:rsid w:val="00E05C2E"/>
    <w:rsid w:val="00E06BFA"/>
    <w:rsid w:val="00E106EE"/>
    <w:rsid w:val="00E10C60"/>
    <w:rsid w:val="00E12A93"/>
    <w:rsid w:val="00E23862"/>
    <w:rsid w:val="00E34779"/>
    <w:rsid w:val="00E36231"/>
    <w:rsid w:val="00E41DD6"/>
    <w:rsid w:val="00E5368B"/>
    <w:rsid w:val="00E62F97"/>
    <w:rsid w:val="00E66054"/>
    <w:rsid w:val="00E76CEA"/>
    <w:rsid w:val="00E77865"/>
    <w:rsid w:val="00E9729B"/>
    <w:rsid w:val="00EA7C66"/>
    <w:rsid w:val="00EB481F"/>
    <w:rsid w:val="00EC2B21"/>
    <w:rsid w:val="00ED021D"/>
    <w:rsid w:val="00ED63D4"/>
    <w:rsid w:val="00ED7DD1"/>
    <w:rsid w:val="00EE0C3D"/>
    <w:rsid w:val="00EE3863"/>
    <w:rsid w:val="00EE6356"/>
    <w:rsid w:val="00EE79CA"/>
    <w:rsid w:val="00EF1758"/>
    <w:rsid w:val="00EF3291"/>
    <w:rsid w:val="00EF48BF"/>
    <w:rsid w:val="00F05A70"/>
    <w:rsid w:val="00F255D6"/>
    <w:rsid w:val="00F33546"/>
    <w:rsid w:val="00F33B7C"/>
    <w:rsid w:val="00F33D03"/>
    <w:rsid w:val="00F34A7D"/>
    <w:rsid w:val="00F475A1"/>
    <w:rsid w:val="00F47986"/>
    <w:rsid w:val="00F5434B"/>
    <w:rsid w:val="00F5504C"/>
    <w:rsid w:val="00F574E7"/>
    <w:rsid w:val="00F60653"/>
    <w:rsid w:val="00F7117E"/>
    <w:rsid w:val="00F82694"/>
    <w:rsid w:val="00F844A5"/>
    <w:rsid w:val="00F85F3A"/>
    <w:rsid w:val="00FA3B35"/>
    <w:rsid w:val="00FB4881"/>
    <w:rsid w:val="00FB635E"/>
    <w:rsid w:val="00FC12DB"/>
    <w:rsid w:val="00FD147F"/>
    <w:rsid w:val="00FD652C"/>
    <w:rsid w:val="00FE559F"/>
    <w:rsid w:val="00FF4A74"/>
    <w:rsid w:val="386A49A9"/>
    <w:rsid w:val="3B243294"/>
    <w:rsid w:val="4B7B1CE8"/>
    <w:rsid w:val="59AA1D54"/>
    <w:rsid w:val="760B45A6"/>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34" w:semiHidden="0" w:name="List Paragraph"/>
  </w:latentStyles>
  <w:style w:type="paragraph" w:default="1" w:styleId="1">
    <w:name w:val="Normal"/>
    <w:qFormat/>
    <w:uiPriority w:val="0"/>
    <w:pPr>
      <w:jc w:val="center"/>
    </w:pPr>
    <w:rPr>
      <w:rFonts w:ascii="Times New Roman" w:hAnsi="Times New Roman" w:eastAsia="Calibri" w:cs="Times New Roman"/>
      <w:sz w:val="28"/>
      <w:szCs w:val="28"/>
      <w:lang w:val="en-US" w:eastAsia="en-US" w:bidi="ar-SA"/>
    </w:rPr>
  </w:style>
  <w:style w:type="paragraph" w:styleId="2">
    <w:name w:val="heading 1"/>
    <w:basedOn w:val="1"/>
    <w:next w:val="1"/>
    <w:link w:val="18"/>
    <w:qFormat/>
    <w:uiPriority w:val="0"/>
    <w:pPr>
      <w:keepNext/>
      <w:jc w:val="left"/>
      <w:outlineLvl w:val="0"/>
    </w:pPr>
    <w:rPr>
      <w:rFonts w:eastAsia="Times New Roman"/>
      <w:b/>
      <w:sz w:val="26"/>
      <w:szCs w:val="20"/>
      <w:lang w:val="zh-CN" w:eastAsia="zh-CN"/>
    </w:rPr>
  </w:style>
  <w:style w:type="paragraph" w:styleId="3">
    <w:name w:val="heading 2"/>
    <w:basedOn w:val="1"/>
    <w:next w:val="1"/>
    <w:link w:val="19"/>
    <w:qFormat/>
    <w:uiPriority w:val="0"/>
    <w:pPr>
      <w:keepNext/>
      <w:jc w:val="left"/>
      <w:outlineLvl w:val="1"/>
    </w:pPr>
    <w:rPr>
      <w:rFonts w:eastAsia="Times New Roman"/>
      <w:i/>
      <w:sz w:val="26"/>
      <w:szCs w:val="20"/>
      <w:lang w:val="zh-CN" w:eastAsia="zh-CN"/>
    </w:rPr>
  </w:style>
  <w:style w:type="paragraph" w:styleId="4">
    <w:name w:val="heading 4"/>
    <w:basedOn w:val="1"/>
    <w:next w:val="1"/>
    <w:link w:val="20"/>
    <w:qFormat/>
    <w:uiPriority w:val="0"/>
    <w:pPr>
      <w:keepNext/>
      <w:outlineLvl w:val="3"/>
    </w:pPr>
    <w:rPr>
      <w:rFonts w:eastAsia="Times New Roman"/>
      <w:b/>
      <w:szCs w:val="20"/>
      <w:lang w:val="zh-CN" w:eastAsia="zh-CN"/>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unhideWhenUsed/>
    <w:qFormat/>
    <w:uiPriority w:val="99"/>
    <w:rPr>
      <w:sz w:val="16"/>
      <w:szCs w:val="16"/>
    </w:rPr>
  </w:style>
  <w:style w:type="character" w:styleId="8">
    <w:name w:val="Hyperlink"/>
    <w:basedOn w:val="5"/>
    <w:semiHidden/>
    <w:unhideWhenUsed/>
    <w:qFormat/>
    <w:uiPriority w:val="99"/>
    <w:rPr>
      <w:color w:val="0000FF"/>
      <w:u w:val="single"/>
    </w:rPr>
  </w:style>
  <w:style w:type="character" w:styleId="9">
    <w:name w:val="page number"/>
    <w:basedOn w:val="5"/>
    <w:qFormat/>
    <w:uiPriority w:val="0"/>
  </w:style>
  <w:style w:type="paragraph" w:styleId="10">
    <w:name w:val="Balloon Text"/>
    <w:basedOn w:val="1"/>
    <w:link w:val="25"/>
    <w:semiHidden/>
    <w:unhideWhenUsed/>
    <w:qFormat/>
    <w:uiPriority w:val="99"/>
    <w:rPr>
      <w:rFonts w:ascii="Tahoma" w:hAnsi="Tahoma"/>
      <w:sz w:val="16"/>
      <w:szCs w:val="16"/>
      <w:lang w:val="zh-CN" w:eastAsia="zh-CN"/>
    </w:rPr>
  </w:style>
  <w:style w:type="paragraph" w:styleId="11">
    <w:name w:val="annotation text"/>
    <w:basedOn w:val="1"/>
    <w:link w:val="26"/>
    <w:unhideWhenUsed/>
    <w:qFormat/>
    <w:uiPriority w:val="99"/>
    <w:pPr>
      <w:jc w:val="left"/>
    </w:pPr>
    <w:rPr>
      <w:rFonts w:ascii="Arial" w:hAnsi="Arial" w:eastAsia="Times New Roman"/>
      <w:sz w:val="20"/>
      <w:szCs w:val="20"/>
    </w:rPr>
  </w:style>
  <w:style w:type="paragraph" w:styleId="12">
    <w:name w:val="annotation subject"/>
    <w:basedOn w:val="11"/>
    <w:next w:val="11"/>
    <w:link w:val="30"/>
    <w:semiHidden/>
    <w:unhideWhenUsed/>
    <w:qFormat/>
    <w:uiPriority w:val="99"/>
    <w:pPr>
      <w:jc w:val="center"/>
    </w:pPr>
    <w:rPr>
      <w:rFonts w:ascii="Times New Roman" w:hAnsi="Times New Roman" w:eastAsia="Calibri"/>
      <w:b/>
      <w:bCs/>
    </w:rPr>
  </w:style>
  <w:style w:type="paragraph" w:styleId="13">
    <w:name w:val="header"/>
    <w:basedOn w:val="1"/>
    <w:link w:val="24"/>
    <w:unhideWhenUsed/>
    <w:qFormat/>
    <w:uiPriority w:val="99"/>
    <w:pPr>
      <w:tabs>
        <w:tab w:val="center" w:pos="4680"/>
        <w:tab w:val="right" w:pos="9360"/>
      </w:tabs>
    </w:pPr>
    <w:rPr>
      <w:lang w:val="zh-CN" w:eastAsia="zh-CN"/>
    </w:rPr>
  </w:style>
  <w:style w:type="paragraph" w:styleId="14">
    <w:name w:val="Body Text"/>
    <w:basedOn w:val="1"/>
    <w:link w:val="21"/>
    <w:qFormat/>
    <w:uiPriority w:val="0"/>
    <w:pPr>
      <w:jc w:val="left"/>
    </w:pPr>
    <w:rPr>
      <w:rFonts w:eastAsia="Times New Roman"/>
      <w:sz w:val="20"/>
      <w:szCs w:val="24"/>
      <w:lang w:val="zh-CN" w:eastAsia="zh-CN"/>
    </w:rPr>
  </w:style>
  <w:style w:type="paragraph" w:styleId="15">
    <w:name w:val="Body Text Indent"/>
    <w:basedOn w:val="1"/>
    <w:link w:val="22"/>
    <w:qFormat/>
    <w:uiPriority w:val="0"/>
    <w:pPr>
      <w:spacing w:before="60" w:line="252" w:lineRule="auto"/>
      <w:ind w:firstLine="709"/>
      <w:jc w:val="both"/>
    </w:pPr>
    <w:rPr>
      <w:rFonts w:ascii=".VnTime" w:hAnsi=".VnTime" w:eastAsia="Times New Roman"/>
      <w:szCs w:val="20"/>
      <w:lang w:val="zh-CN" w:eastAsia="zh-CN"/>
    </w:rPr>
  </w:style>
  <w:style w:type="paragraph" w:styleId="16">
    <w:name w:val="footer"/>
    <w:basedOn w:val="1"/>
    <w:link w:val="23"/>
    <w:qFormat/>
    <w:uiPriority w:val="99"/>
    <w:pPr>
      <w:tabs>
        <w:tab w:val="center" w:pos="4320"/>
        <w:tab w:val="right" w:pos="8640"/>
      </w:tabs>
      <w:jc w:val="left"/>
    </w:pPr>
    <w:rPr>
      <w:rFonts w:eastAsia="Times New Roman"/>
      <w:sz w:val="24"/>
      <w:szCs w:val="24"/>
      <w:lang w:val="zh-CN" w:eastAsia="zh-CN"/>
    </w:rPr>
  </w:style>
  <w:style w:type="paragraph" w:styleId="17">
    <w:name w:val="Normal (Web)"/>
    <w:basedOn w:val="1"/>
    <w:link w:val="29"/>
    <w:unhideWhenUsed/>
    <w:qFormat/>
    <w:uiPriority w:val="99"/>
    <w:pPr>
      <w:spacing w:before="100" w:beforeAutospacing="1" w:after="100" w:afterAutospacing="1"/>
      <w:jc w:val="left"/>
    </w:pPr>
    <w:rPr>
      <w:rFonts w:eastAsia="Times New Roman"/>
      <w:sz w:val="24"/>
      <w:szCs w:val="24"/>
    </w:rPr>
  </w:style>
  <w:style w:type="character" w:customStyle="1" w:styleId="18">
    <w:name w:val="Heading 1 Char"/>
    <w:link w:val="2"/>
    <w:qFormat/>
    <w:uiPriority w:val="0"/>
    <w:rPr>
      <w:rFonts w:ascii="Times New Roman" w:hAnsi="Times New Roman" w:eastAsia="Times New Roman" w:cs="Times New Roman"/>
      <w:b/>
      <w:sz w:val="26"/>
      <w:szCs w:val="20"/>
    </w:rPr>
  </w:style>
  <w:style w:type="character" w:customStyle="1" w:styleId="19">
    <w:name w:val="Heading 2 Char"/>
    <w:link w:val="3"/>
    <w:qFormat/>
    <w:uiPriority w:val="0"/>
    <w:rPr>
      <w:rFonts w:ascii="Times New Roman" w:hAnsi="Times New Roman" w:eastAsia="Times New Roman" w:cs="Times New Roman"/>
      <w:i/>
      <w:sz w:val="26"/>
      <w:szCs w:val="20"/>
    </w:rPr>
  </w:style>
  <w:style w:type="character" w:customStyle="1" w:styleId="20">
    <w:name w:val="Heading 4 Char"/>
    <w:link w:val="4"/>
    <w:qFormat/>
    <w:uiPriority w:val="0"/>
    <w:rPr>
      <w:rFonts w:ascii="Times New Roman" w:hAnsi="Times New Roman" w:eastAsia="Times New Roman" w:cs="Times New Roman"/>
      <w:b/>
      <w:sz w:val="28"/>
      <w:szCs w:val="20"/>
    </w:rPr>
  </w:style>
  <w:style w:type="character" w:customStyle="1" w:styleId="21">
    <w:name w:val="Body Text Char"/>
    <w:link w:val="14"/>
    <w:qFormat/>
    <w:uiPriority w:val="0"/>
    <w:rPr>
      <w:rFonts w:ascii="Times New Roman" w:hAnsi="Times New Roman" w:eastAsia="Times New Roman" w:cs="Times New Roman"/>
      <w:sz w:val="20"/>
      <w:szCs w:val="24"/>
    </w:rPr>
  </w:style>
  <w:style w:type="character" w:customStyle="1" w:styleId="22">
    <w:name w:val="Body Text Indent Char"/>
    <w:link w:val="15"/>
    <w:qFormat/>
    <w:uiPriority w:val="0"/>
    <w:rPr>
      <w:rFonts w:ascii=".VnTime" w:hAnsi=".VnTime" w:eastAsia="Times New Roman" w:cs="Times New Roman"/>
      <w:sz w:val="28"/>
      <w:szCs w:val="20"/>
    </w:rPr>
  </w:style>
  <w:style w:type="character" w:customStyle="1" w:styleId="23">
    <w:name w:val="Footer Char"/>
    <w:link w:val="16"/>
    <w:qFormat/>
    <w:uiPriority w:val="99"/>
    <w:rPr>
      <w:rFonts w:ascii="Times New Roman" w:hAnsi="Times New Roman" w:eastAsia="Times New Roman" w:cs="Times New Roman"/>
      <w:sz w:val="24"/>
      <w:szCs w:val="24"/>
    </w:rPr>
  </w:style>
  <w:style w:type="character" w:customStyle="1" w:styleId="24">
    <w:name w:val="Header Char"/>
    <w:link w:val="13"/>
    <w:qFormat/>
    <w:uiPriority w:val="99"/>
    <w:rPr>
      <w:rFonts w:ascii="Times New Roman" w:hAnsi="Times New Roman"/>
      <w:sz w:val="28"/>
      <w:szCs w:val="28"/>
    </w:rPr>
  </w:style>
  <w:style w:type="character" w:customStyle="1" w:styleId="25">
    <w:name w:val="Balloon Text Char"/>
    <w:link w:val="10"/>
    <w:semiHidden/>
    <w:qFormat/>
    <w:uiPriority w:val="99"/>
    <w:rPr>
      <w:rFonts w:ascii="Tahoma" w:hAnsi="Tahoma" w:cs="Tahoma"/>
      <w:sz w:val="16"/>
      <w:szCs w:val="16"/>
    </w:rPr>
  </w:style>
  <w:style w:type="character" w:customStyle="1" w:styleId="26">
    <w:name w:val="Comment Text Char"/>
    <w:link w:val="11"/>
    <w:qFormat/>
    <w:uiPriority w:val="99"/>
    <w:rPr>
      <w:rFonts w:ascii="Arial" w:hAnsi="Arial" w:eastAsia="Times New Roman"/>
    </w:rPr>
  </w:style>
  <w:style w:type="character" w:customStyle="1" w:styleId="27">
    <w:name w:val="fontstyle01"/>
    <w:basedOn w:val="5"/>
    <w:qFormat/>
    <w:uiPriority w:val="0"/>
    <w:rPr>
      <w:rFonts w:hint="default" w:ascii="Times New Roman" w:hAnsi="Times New Roman" w:cs="Times New Roman"/>
      <w:b/>
      <w:bCs/>
      <w:color w:val="000000"/>
      <w:sz w:val="28"/>
      <w:szCs w:val="28"/>
    </w:rPr>
  </w:style>
  <w:style w:type="paragraph" w:styleId="28">
    <w:name w:val="List Paragraph"/>
    <w:basedOn w:val="1"/>
    <w:qFormat/>
    <w:uiPriority w:val="34"/>
    <w:pPr>
      <w:ind w:left="720"/>
      <w:contextualSpacing/>
    </w:pPr>
  </w:style>
  <w:style w:type="character" w:customStyle="1" w:styleId="29">
    <w:name w:val="Normal (Web) Char"/>
    <w:link w:val="17"/>
    <w:qFormat/>
    <w:uiPriority w:val="99"/>
    <w:rPr>
      <w:rFonts w:ascii="Times New Roman" w:hAnsi="Times New Roman" w:eastAsia="Times New Roman"/>
      <w:sz w:val="24"/>
      <w:szCs w:val="24"/>
      <w:lang w:val="en-US" w:eastAsia="en-US"/>
    </w:rPr>
  </w:style>
  <w:style w:type="character" w:customStyle="1" w:styleId="30">
    <w:name w:val="Comment Subject Char"/>
    <w:basedOn w:val="26"/>
    <w:link w:val="12"/>
    <w:semiHidden/>
    <w:qFormat/>
    <w:uiPriority w:val="99"/>
    <w:rPr>
      <w:rFonts w:ascii="Times New Roman" w:hAnsi="Times New Roman" w:eastAsia="Times New Roman"/>
      <w:b/>
      <w:bCs/>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53C1C6-82F6-4EDE-8B40-15F5C4AC8F71}">
  <ds:schemaRefs/>
</ds:datastoreItem>
</file>

<file path=docProps/app.xml><?xml version="1.0" encoding="utf-8"?>
<Properties xmlns="http://schemas.openxmlformats.org/officeDocument/2006/extended-properties" xmlns:vt="http://schemas.openxmlformats.org/officeDocument/2006/docPropsVTypes">
  <Template>Normal</Template>
  <Company>VPS</Company>
  <Pages>10</Pages>
  <Words>3924</Words>
  <Characters>14137</Characters>
  <Lines>141</Lines>
  <Paragraphs>39</Paragraphs>
  <TotalTime>10</TotalTime>
  <ScaleCrop>false</ScaleCrop>
  <LinksUpToDate>false</LinksUpToDate>
  <CharactersWithSpaces>17911</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2025-11-12T15:46:00Z</dcterms:created>
  <dc:creator>THANH TUAN</dc:creator>
  <cp:lastModifiedBy>Duong NT</cp:lastModifiedBy>
  <cp:lastPrinted>2025-10-31T02:34:00Z</cp:lastPrinted>
  <dcterms:modified xsi:type="dcterms:W3CDTF">2026-08-11T06:51:27Z</dcterms:modified>
  <cp:revision>164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eyJoZGlkIjoiMGNmOWQ5NmI0OTdkMTJiNDgxZmE3OTg3ODkwMzVkNTMiLCJ1c2VySWQiOiIxMzc0NDAyMTIxODM5In0=</vt:lpwstr>
  </property>
  <property fmtid="{D5CDD505-2E9C-101B-9397-08002B2CF9AE}" pid="3" name="KSOProductBuildVer">
    <vt:lpwstr>1066-12.1.0.28032</vt:lpwstr>
  </property>
  <property fmtid="{D5CDD505-2E9C-101B-9397-08002B2CF9AE}" pid="4" name="ICV">
    <vt:lpwstr>C7D3A6ED9F92480E9F053146F8002886_12</vt:lpwstr>
  </property>
</Properties>
</file>